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Theme="minorEastAsia"/>
          <w:b/>
          <w:i/>
          <w:sz w:val="28"/>
          <w:lang w:val="en-US" w:eastAsia="zh-CN"/>
        </w:rPr>
      </w:pPr>
      <w:bookmarkStart w:id="0" w:name="_Toc93073649"/>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5</w:t>
      </w:r>
      <w:r>
        <w:fldChar w:fldCharType="begin"/>
      </w:r>
      <w:r>
        <w:instrText xml:space="preserve"> DOCPROPERTY  MtgTitle  \* MERGEFORMAT </w:instrText>
      </w:r>
      <w:r>
        <w:fldChar w:fldCharType="separate"/>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S2-240</w:t>
      </w:r>
      <w:r>
        <w:rPr>
          <w:b/>
          <w:i w:val="0"/>
          <w:iCs w:val="0"/>
          <w:sz w:val="28"/>
        </w:rPr>
        <w:fldChar w:fldCharType="end"/>
      </w:r>
      <w:r>
        <w:rPr>
          <w:rFonts w:hint="eastAsia"/>
          <w:b/>
          <w:i w:val="0"/>
          <w:iCs w:val="0"/>
          <w:sz w:val="28"/>
          <w:lang w:val="en-US" w:eastAsia="zh-CN"/>
        </w:rPr>
        <w:t>9634</w:t>
      </w:r>
    </w:p>
    <w:p>
      <w:pPr>
        <w:pStyle w:val="91"/>
        <w:outlineLvl w:val="0"/>
        <w:rPr>
          <w:b/>
          <w:sz w:val="24"/>
        </w:rPr>
      </w:pPr>
      <w:r>
        <w:rPr>
          <w:rFonts w:hint="eastAsia"/>
          <w:b/>
          <w:sz w:val="24"/>
          <w:lang w:val="en-US" w:eastAsia="zh-CN"/>
        </w:rPr>
        <w:t>Hyderabad</w:t>
      </w:r>
      <w:r>
        <w:rPr>
          <w:b/>
          <w:sz w:val="24"/>
        </w:rPr>
        <w:t xml:space="preserve">, </w:t>
      </w:r>
      <w:r>
        <w:rPr>
          <w:rFonts w:hint="eastAsia"/>
          <w:b/>
          <w:sz w:val="24"/>
          <w:lang w:val="en-US" w:eastAsia="zh-CN"/>
        </w:rPr>
        <w:t>India</w:t>
      </w:r>
      <w:r>
        <w:rPr>
          <w:b/>
          <w:sz w:val="24"/>
        </w:rPr>
        <w:t>, 1</w:t>
      </w:r>
      <w:r>
        <w:rPr>
          <w:rFonts w:hint="eastAsia"/>
          <w:b/>
          <w:sz w:val="24"/>
          <w:lang w:val="en-US" w:eastAsia="zh-CN"/>
        </w:rPr>
        <w:t>4</w:t>
      </w:r>
      <w:r>
        <w:rPr>
          <w:b/>
          <w:sz w:val="24"/>
        </w:rPr>
        <w:t xml:space="preserve"> - </w:t>
      </w:r>
      <w:r>
        <w:rPr>
          <w:rFonts w:hint="eastAsia"/>
          <w:b/>
          <w:sz w:val="24"/>
          <w:lang w:val="en-US" w:eastAsia="zh-CN"/>
        </w:rPr>
        <w:t>18</w:t>
      </w:r>
      <w:r>
        <w:rPr>
          <w:b/>
          <w:sz w:val="24"/>
        </w:rPr>
        <w:t xml:space="preserve"> </w:t>
      </w:r>
      <w:r>
        <w:rPr>
          <w:rFonts w:hint="eastAsia"/>
          <w:b/>
          <w:sz w:val="24"/>
          <w:lang w:val="en-US" w:eastAsia="zh-CN"/>
        </w:rPr>
        <w:t>October</w:t>
      </w:r>
      <w:r>
        <w:rPr>
          <w:b/>
          <w:sz w:val="24"/>
        </w:rPr>
        <w:t xml:space="preserve"> 2024</w:t>
      </w:r>
    </w:p>
    <w:p>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ZTE</w:t>
      </w:r>
    </w:p>
    <w:p>
      <w:pPr>
        <w:ind w:left="2127" w:hanging="2127"/>
        <w:rPr>
          <w:rFonts w:hint="default" w:ascii="Arial" w:hAnsi="Arial" w:eastAsia="微软雅黑" w:cs="Arial"/>
          <w:b/>
          <w:bCs/>
          <w:lang w:val="en-US" w:eastAsia="zh-CN"/>
        </w:rPr>
      </w:pPr>
      <w:r>
        <w:rPr>
          <w:rFonts w:hint="default" w:ascii="Arial" w:hAnsi="Arial" w:eastAsia="微软雅黑" w:cs="Arial"/>
          <w:b/>
          <w:bCs/>
        </w:rPr>
        <w:t>Title:</w:t>
      </w:r>
      <w:r>
        <w:rPr>
          <w:rFonts w:hint="default" w:ascii="Arial" w:hAnsi="Arial" w:eastAsia="微软雅黑" w:cs="Arial"/>
        </w:rPr>
        <w:tab/>
      </w:r>
      <w:r>
        <w:rPr>
          <w:rFonts w:hint="default" w:ascii="Arial" w:hAnsi="Arial" w:eastAsia="微软雅黑" w:cs="Arial"/>
          <w:b/>
          <w:bCs/>
          <w:lang w:val="en-US" w:eastAsia="zh-CN"/>
        </w:rPr>
        <w:t>Discussion and way forward of</w:t>
      </w:r>
      <w:r>
        <w:rPr>
          <w:rFonts w:hint="eastAsia" w:ascii="Arial" w:hAnsi="Arial" w:eastAsia="微软雅黑" w:cs="Arial"/>
          <w:b/>
          <w:bCs/>
          <w:lang w:val="en-US" w:eastAsia="zh-CN"/>
        </w:rPr>
        <w:t xml:space="preserve"> UE side data collection</w:t>
      </w:r>
    </w:p>
    <w:p>
      <w:pPr>
        <w:ind w:left="2127" w:hanging="2127"/>
        <w:rPr>
          <w:rFonts w:hint="default" w:ascii="Arial" w:hAnsi="Arial" w:cs="Arial" w:eastAsiaTheme="minorEastAsia"/>
          <w:b/>
          <w:bCs/>
          <w:lang w:val="en-US" w:eastAsia="zh-CN"/>
        </w:rPr>
      </w:pPr>
      <w:r>
        <w:rPr>
          <w:rFonts w:ascii="Arial" w:hAnsi="Arial" w:cs="Arial"/>
          <w:b/>
          <w:bCs/>
        </w:rPr>
        <w:t>Document for:</w:t>
      </w:r>
      <w:r>
        <w:tab/>
      </w:r>
      <w:r>
        <w:rPr>
          <w:rFonts w:hint="eastAsia" w:ascii="Arial" w:hAnsi="Arial" w:cs="Arial"/>
          <w:b/>
          <w:bCs/>
          <w:lang w:val="en-US" w:eastAsia="zh-CN"/>
        </w:rPr>
        <w:t>Discussion</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19.15.2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AIML_CN / Rel-19</w:t>
      </w:r>
    </w:p>
    <w:p>
      <w:pPr>
        <w:rPr>
          <w:rFonts w:ascii="Arial" w:hAnsi="Arial" w:cs="Arial"/>
          <w:b w:val="0"/>
          <w:bCs w:val="0"/>
          <w:i w:val="0"/>
          <w:iCs/>
        </w:rPr>
      </w:pPr>
      <w:r>
        <w:rPr>
          <w:rFonts w:ascii="Arial" w:hAnsi="Arial" w:cs="Arial"/>
          <w:b w:val="0"/>
          <w:bCs w:val="0"/>
          <w:i w:val="0"/>
          <w:iCs/>
        </w:rPr>
        <w:t xml:space="preserve">Abstract of the contribution: This </w:t>
      </w:r>
      <w:r>
        <w:rPr>
          <w:rFonts w:hint="eastAsia" w:ascii="Arial" w:hAnsi="Arial" w:cs="Arial"/>
          <w:b w:val="0"/>
          <w:bCs w:val="0"/>
          <w:i w:val="0"/>
          <w:iCs/>
          <w:lang w:val="en-US" w:eastAsia="zh-CN"/>
        </w:rPr>
        <w:t>discussion paper presents 4</w:t>
      </w:r>
      <w:r>
        <w:rPr>
          <w:rFonts w:ascii="Arial" w:hAnsi="Arial" w:cs="Arial"/>
          <w:b w:val="0"/>
          <w:bCs w:val="0"/>
          <w:i w:val="0"/>
          <w:iCs/>
        </w:rPr>
        <w:t xml:space="preserve"> </w:t>
      </w:r>
      <w:r>
        <w:rPr>
          <w:rFonts w:hint="eastAsia" w:ascii="Arial" w:hAnsi="Arial" w:cs="Arial"/>
          <w:b w:val="0"/>
          <w:bCs w:val="0"/>
          <w:i w:val="0"/>
          <w:iCs/>
          <w:lang w:val="en-US" w:eastAsia="zh-CN"/>
        </w:rPr>
        <w:t xml:space="preserve">different options of </w:t>
      </w:r>
      <w:r>
        <w:rPr>
          <w:rFonts w:hint="eastAsia" w:ascii="Arial" w:hAnsi="Arial" w:eastAsia="微软雅黑" w:cs="Arial"/>
          <w:b w:val="0"/>
          <w:bCs w:val="0"/>
          <w:i w:val="0"/>
          <w:iCs/>
          <w:lang w:val="en-US" w:eastAsia="zh-CN"/>
        </w:rPr>
        <w:t xml:space="preserve">UE side training data collection with some observations. </w:t>
      </w:r>
      <w:r>
        <w:rPr>
          <w:rFonts w:ascii="Arial" w:hAnsi="Arial" w:cs="Arial"/>
          <w:b w:val="0"/>
          <w:bCs w:val="0"/>
          <w:i w:val="0"/>
          <w:iCs/>
        </w:rPr>
        <w:t xml:space="preserve">A related </w:t>
      </w:r>
      <w:r>
        <w:rPr>
          <w:rFonts w:hint="eastAsia" w:ascii="Arial" w:hAnsi="Arial" w:cs="Arial"/>
          <w:b w:val="0"/>
          <w:bCs w:val="0"/>
          <w:i w:val="0"/>
          <w:iCs/>
          <w:lang w:val="en-US" w:eastAsia="zh-CN"/>
        </w:rPr>
        <w:t>Reply LS</w:t>
      </w:r>
      <w:r>
        <w:rPr>
          <w:rFonts w:ascii="Arial" w:hAnsi="Arial" w:cs="Arial"/>
          <w:b w:val="0"/>
          <w:bCs w:val="0"/>
          <w:i w:val="0"/>
          <w:iCs/>
        </w:rPr>
        <w:t xml:space="preserve"> is in S2-240</w:t>
      </w:r>
      <w:r>
        <w:rPr>
          <w:rFonts w:hint="eastAsia" w:ascii="Arial" w:hAnsi="Arial" w:cs="Arial"/>
          <w:b w:val="0"/>
          <w:bCs w:val="0"/>
          <w:i w:val="0"/>
          <w:iCs/>
          <w:lang w:val="en-US" w:eastAsia="zh-CN"/>
        </w:rPr>
        <w:t>XXXX</w:t>
      </w:r>
      <w:r>
        <w:rPr>
          <w:rFonts w:ascii="Arial" w:hAnsi="Arial" w:cs="Arial"/>
          <w:b w:val="0"/>
          <w:bCs w:val="0"/>
          <w:i w:val="0"/>
          <w:iCs/>
        </w:rPr>
        <w:t>.</w:t>
      </w:r>
    </w:p>
    <w:p>
      <w:pPr>
        <w:pStyle w:val="2"/>
      </w:pPr>
      <w:r>
        <w:t>Discussion</w:t>
      </w:r>
    </w:p>
    <w:p>
      <w:pPr>
        <w:pStyle w:val="24"/>
        <w:tabs>
          <w:tab w:val="right" w:pos="9639"/>
        </w:tabs>
        <w:rPr>
          <w:b w:val="0"/>
          <w:bCs/>
        </w:rPr>
      </w:pPr>
      <w:r>
        <w:rPr>
          <w:b w:val="0"/>
          <w:bCs/>
        </w:rPr>
        <w:t xml:space="preserve">In </w:t>
      </w:r>
      <w:r>
        <w:rPr>
          <w:rFonts w:hint="eastAsia"/>
          <w:b w:val="0"/>
          <w:bCs/>
          <w:lang w:val="en-US" w:eastAsia="zh-CN"/>
        </w:rPr>
        <w:t>LS in from</w:t>
      </w:r>
      <w:r>
        <w:rPr>
          <w:rFonts w:hint="eastAsia"/>
          <w:b/>
          <w:bCs w:val="0"/>
          <w:lang w:val="en-US" w:eastAsia="zh-CN"/>
        </w:rPr>
        <w:t xml:space="preserve"> RAN WG(</w:t>
      </w:r>
      <w:r>
        <w:rPr>
          <w:rFonts w:ascii="Arial" w:hAnsi="Arial" w:cs="Arial"/>
          <w:b/>
          <w:bCs w:val="0"/>
          <w:sz w:val="21"/>
          <w:szCs w:val="21"/>
        </w:rPr>
        <w:t>RP-242389</w:t>
      </w:r>
      <w:r>
        <w:rPr>
          <w:rFonts w:hint="eastAsia"/>
          <w:b/>
          <w:bCs w:val="0"/>
          <w:lang w:val="en-US" w:eastAsia="zh-CN"/>
        </w:rPr>
        <w:t>)</w:t>
      </w:r>
      <w:r>
        <w:rPr>
          <w:b w:val="0"/>
          <w:bCs/>
        </w:rPr>
        <w:t xml:space="preserve">, the following </w:t>
      </w:r>
      <w:r>
        <w:rPr>
          <w:rFonts w:hint="eastAsia"/>
          <w:b w:val="0"/>
          <w:bCs/>
          <w:lang w:val="en-US" w:eastAsia="zh-CN"/>
        </w:rPr>
        <w:t>4 options are given for UE side data collection:</w:t>
      </w:r>
      <w:r>
        <w:rPr>
          <w:b w:val="0"/>
          <w:bCs/>
        </w:rPr>
        <w:t xml:space="preserve"> </w:t>
      </w:r>
    </w:p>
    <w:bookmarkEnd w:id="0"/>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1971"/>
        <w:gridCol w:w="1971"/>
        <w:gridCol w:w="1971"/>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Borders>
              <w:tl2br w:val="single" w:color="auto" w:sz="4" w:space="0"/>
            </w:tcBorders>
            <w:shd w:val="clear" w:color="auto" w:fill="D9D9D9"/>
            <w:noWrap w:val="0"/>
            <w:vAlign w:val="top"/>
          </w:tcPr>
          <w:p>
            <w:pPr>
              <w:rPr>
                <w:rFonts w:ascii="Arial" w:hAnsi="Arial" w:eastAsia="宋体" w:cs="Arial"/>
                <w:b/>
                <w:bCs/>
                <w:sz w:val="18"/>
                <w:szCs w:val="18"/>
              </w:rPr>
            </w:pPr>
            <w:r>
              <w:rPr>
                <w:rFonts w:ascii="Arial" w:hAnsi="Arial" w:eastAsia="宋体" w:cs="Arial"/>
                <w:b/>
                <w:bCs/>
                <w:sz w:val="18"/>
                <w:szCs w:val="18"/>
              </w:rPr>
              <w:t xml:space="preserve">              Option</w:t>
            </w:r>
          </w:p>
          <w:p>
            <w:pPr>
              <w:rPr>
                <w:rFonts w:ascii="Arial" w:hAnsi="Arial" w:eastAsia="宋体" w:cs="Arial"/>
                <w:b/>
                <w:bCs/>
                <w:sz w:val="18"/>
                <w:szCs w:val="18"/>
              </w:rPr>
            </w:pPr>
          </w:p>
          <w:p>
            <w:pPr>
              <w:rPr>
                <w:rFonts w:ascii="Arial" w:hAnsi="Arial" w:eastAsia="宋体" w:cs="Arial"/>
                <w:b/>
                <w:bCs/>
                <w:sz w:val="18"/>
                <w:szCs w:val="18"/>
              </w:rPr>
            </w:pPr>
          </w:p>
          <w:p>
            <w:pPr>
              <w:rPr>
                <w:rFonts w:ascii="Arial" w:hAnsi="Arial" w:eastAsia="宋体" w:cs="Arial"/>
                <w:b/>
                <w:bCs/>
                <w:sz w:val="18"/>
                <w:szCs w:val="18"/>
              </w:rPr>
            </w:pPr>
          </w:p>
          <w:p>
            <w:pPr>
              <w:rPr>
                <w:rFonts w:ascii="Arial" w:hAnsi="Arial" w:eastAsia="宋体" w:cs="Arial"/>
                <w:sz w:val="18"/>
                <w:szCs w:val="18"/>
                <w:lang w:eastAsia="en-GB"/>
              </w:rPr>
            </w:pPr>
            <w:r>
              <w:rPr>
                <w:rFonts w:ascii="Arial" w:hAnsi="Arial" w:eastAsia="宋体" w:cs="Arial"/>
                <w:b/>
                <w:bCs/>
                <w:sz w:val="18"/>
                <w:szCs w:val="18"/>
              </w:rPr>
              <w:t>Aspect</w:t>
            </w:r>
          </w:p>
        </w:tc>
        <w:tc>
          <w:tcPr>
            <w:tcW w:w="1000" w:type="pct"/>
            <w:shd w:val="clear" w:color="auto" w:fill="D9D9D9"/>
            <w:noWrap w:val="0"/>
            <w:vAlign w:val="top"/>
          </w:tcPr>
          <w:p>
            <w:pPr>
              <w:jc w:val="center"/>
              <w:rPr>
                <w:rFonts w:ascii="Arial" w:hAnsi="Arial" w:eastAsia="宋体" w:cs="Arial"/>
                <w:sz w:val="18"/>
                <w:szCs w:val="18"/>
                <w:lang w:eastAsia="en-GB"/>
              </w:rPr>
            </w:pPr>
            <w:r>
              <w:rPr>
                <w:rFonts w:ascii="Arial" w:hAnsi="Arial" w:eastAsia="宋体" w:cs="Arial"/>
                <w:b/>
                <w:bCs/>
                <w:sz w:val="18"/>
                <w:szCs w:val="18"/>
                <w:lang w:eastAsia="en-GB"/>
              </w:rPr>
              <w:t>Option 1a)</w:t>
            </w:r>
          </w:p>
        </w:tc>
        <w:tc>
          <w:tcPr>
            <w:tcW w:w="1000" w:type="pct"/>
            <w:shd w:val="clear" w:color="auto" w:fill="D9D9D9"/>
            <w:noWrap w:val="0"/>
            <w:vAlign w:val="top"/>
          </w:tcPr>
          <w:p>
            <w:pPr>
              <w:jc w:val="center"/>
              <w:rPr>
                <w:rFonts w:ascii="Arial" w:hAnsi="Arial" w:eastAsia="宋体" w:cs="Arial"/>
                <w:sz w:val="18"/>
                <w:szCs w:val="18"/>
                <w:lang w:eastAsia="en-GB"/>
              </w:rPr>
            </w:pPr>
            <w:r>
              <w:rPr>
                <w:rFonts w:ascii="Arial" w:hAnsi="Arial" w:eastAsia="宋体" w:cs="Arial"/>
                <w:b/>
                <w:bCs/>
                <w:sz w:val="18"/>
                <w:szCs w:val="18"/>
                <w:lang w:eastAsia="en-GB"/>
              </w:rPr>
              <w:t>Option 1b)</w:t>
            </w:r>
          </w:p>
        </w:tc>
        <w:tc>
          <w:tcPr>
            <w:tcW w:w="1000" w:type="pct"/>
            <w:shd w:val="clear" w:color="auto" w:fill="D9D9D9"/>
            <w:noWrap w:val="0"/>
            <w:vAlign w:val="top"/>
          </w:tcPr>
          <w:p>
            <w:pPr>
              <w:jc w:val="center"/>
              <w:rPr>
                <w:rFonts w:ascii="Arial" w:hAnsi="Arial" w:eastAsia="宋体" w:cs="Arial"/>
                <w:sz w:val="18"/>
                <w:szCs w:val="18"/>
                <w:lang w:eastAsia="en-GB"/>
              </w:rPr>
            </w:pPr>
            <w:r>
              <w:rPr>
                <w:rFonts w:ascii="Arial" w:hAnsi="Arial" w:eastAsia="宋体" w:cs="Arial"/>
                <w:b/>
                <w:bCs/>
                <w:sz w:val="18"/>
                <w:szCs w:val="18"/>
                <w:lang w:eastAsia="en-GB"/>
              </w:rPr>
              <w:t>Option 2</w:t>
            </w:r>
          </w:p>
        </w:tc>
        <w:tc>
          <w:tcPr>
            <w:tcW w:w="1000" w:type="pct"/>
            <w:shd w:val="clear" w:color="auto" w:fill="D9D9D9"/>
            <w:noWrap w:val="0"/>
            <w:vAlign w:val="top"/>
          </w:tcPr>
          <w:p>
            <w:pPr>
              <w:overflowPunct w:val="0"/>
              <w:autoSpaceDE w:val="0"/>
              <w:autoSpaceDN w:val="0"/>
              <w:adjustRightInd w:val="0"/>
              <w:ind w:hanging="360"/>
              <w:jc w:val="center"/>
              <w:textAlignment w:val="baseline"/>
              <w:rPr>
                <w:rFonts w:ascii="Arial" w:hAnsi="Arial" w:eastAsia="宋体" w:cs="Arial"/>
                <w:sz w:val="18"/>
                <w:szCs w:val="18"/>
                <w:lang w:eastAsia="en-GB"/>
              </w:rPr>
            </w:pPr>
            <w:r>
              <w:rPr>
                <w:rFonts w:ascii="Arial" w:hAnsi="Arial" w:eastAsia="宋体" w:cs="Arial"/>
                <w:b/>
                <w:bCs/>
                <w:sz w:val="18"/>
                <w:szCs w:val="18"/>
                <w:lang w:eastAsia="en-GB"/>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shd w:val="clear" w:color="auto" w:fill="D9D9D9"/>
            <w:noWrap w:val="0"/>
            <w:vAlign w:val="top"/>
          </w:tcPr>
          <w:p>
            <w:pPr>
              <w:rPr>
                <w:rFonts w:ascii="Arial" w:hAnsi="Arial" w:eastAsia="宋体" w:cs="Arial"/>
                <w:b/>
                <w:bCs/>
                <w:sz w:val="18"/>
                <w:szCs w:val="18"/>
                <w:lang w:eastAsia="en-GB"/>
              </w:rPr>
            </w:pPr>
            <w:r>
              <w:rPr>
                <w:rFonts w:ascii="Arial" w:hAnsi="Arial" w:eastAsia="宋体" w:cs="Arial"/>
                <w:b/>
                <w:bCs/>
                <w:sz w:val="18"/>
                <w:szCs w:val="18"/>
                <w:lang w:eastAsia="en-GB"/>
              </w:rPr>
              <w:t>First termination entity</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Training entity (e.g., Over-The-Top (OTT) server)</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Server for data collection for UE-side model training</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 xml:space="preserve">Inside the CN </w:t>
            </w:r>
          </w:p>
        </w:tc>
        <w:tc>
          <w:tcPr>
            <w:tcW w:w="1000" w:type="pct"/>
            <w:noWrap w:val="0"/>
            <w:vAlign w:val="top"/>
          </w:tcPr>
          <w:p>
            <w:pPr>
              <w:overflowPunct w:val="0"/>
              <w:autoSpaceDE w:val="0"/>
              <w:autoSpaceDN w:val="0"/>
              <w:adjustRightInd w:val="0"/>
              <w:ind w:left="360" w:hanging="360"/>
              <w:contextualSpacing/>
              <w:textAlignment w:val="baseline"/>
              <w:rPr>
                <w:rFonts w:ascii="Arial" w:hAnsi="Arial" w:eastAsia="宋体" w:cs="Arial"/>
                <w:sz w:val="18"/>
                <w:szCs w:val="18"/>
                <w:lang w:eastAsia="en-GB"/>
              </w:rPr>
            </w:pPr>
            <w:r>
              <w:rPr>
                <w:rFonts w:ascii="Arial" w:hAnsi="Arial" w:eastAsia="宋体" w:cs="Arial"/>
                <w:sz w:val="18"/>
                <w:szCs w:val="18"/>
                <w:lang w:eastAsia="ja-JP"/>
              </w:rPr>
              <w:t>Inside OAM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shd w:val="clear" w:color="auto" w:fill="D9D9D9"/>
            <w:noWrap w:val="0"/>
            <w:vAlign w:val="top"/>
          </w:tcPr>
          <w:p>
            <w:pPr>
              <w:rPr>
                <w:rFonts w:ascii="Arial" w:hAnsi="Arial" w:eastAsia="宋体" w:cs="Arial"/>
                <w:b/>
                <w:bCs/>
                <w:sz w:val="18"/>
                <w:szCs w:val="18"/>
                <w:lang w:eastAsia="en-GB"/>
              </w:rPr>
            </w:pPr>
            <w:r>
              <w:rPr>
                <w:rFonts w:ascii="Arial" w:hAnsi="Arial" w:eastAsia="宋体" w:cs="Arial"/>
                <w:b/>
                <w:bCs/>
                <w:sz w:val="18"/>
                <w:szCs w:val="18"/>
                <w:lang w:eastAsia="en-GB"/>
              </w:rPr>
              <w:t>AI/ML-specific Data Transfer Path</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UE to OTT server via either 3GPP or non-3GPP network</w:t>
            </w: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UE -&gt;Server for data collection for UE-side model training/OTT server</w:t>
            </w:r>
          </w:p>
          <w:p>
            <w:pPr>
              <w:rPr>
                <w:rFonts w:ascii="Arial" w:hAnsi="Arial" w:eastAsia="宋体" w:cs="Arial"/>
                <w:sz w:val="18"/>
                <w:szCs w:val="18"/>
                <w:lang w:eastAsia="en-GB"/>
              </w:rPr>
            </w:pPr>
            <w:r>
              <w:rPr>
                <w:rFonts w:ascii="Arial" w:hAnsi="Arial" w:eastAsia="宋体" w:cs="Arial"/>
                <w:sz w:val="18"/>
                <w:szCs w:val="18"/>
              </w:rPr>
              <w:t>(Note 4)</w:t>
            </w: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UE-&gt; CN -&gt; Server for data collection for UE-side model training/OTT server</w:t>
            </w:r>
          </w:p>
          <w:p>
            <w:pPr>
              <w:rPr>
                <w:rFonts w:ascii="Arial" w:hAnsi="Arial" w:eastAsia="宋体" w:cs="Arial"/>
                <w:sz w:val="18"/>
                <w:szCs w:val="18"/>
                <w:lang w:eastAsia="ja-JP"/>
              </w:rPr>
            </w:pPr>
            <w:r>
              <w:rPr>
                <w:rFonts w:ascii="Arial" w:hAnsi="Arial" w:eastAsia="宋体" w:cs="Arial"/>
                <w:sz w:val="18"/>
                <w:szCs w:val="18"/>
                <w:lang w:eastAsia="ja-JP"/>
              </w:rPr>
              <w:t>(Note 4)</w:t>
            </w: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UE-&gt; gNB-&gt;OAM -&gt; Server for data collection for UE-side model training/OTT server</w:t>
            </w:r>
          </w:p>
          <w:p>
            <w:pPr>
              <w:overflowPunct w:val="0"/>
              <w:autoSpaceDE w:val="0"/>
              <w:autoSpaceDN w:val="0"/>
              <w:adjustRightInd w:val="0"/>
              <w:ind w:left="360" w:hanging="360"/>
              <w:textAlignment w:val="baseline"/>
              <w:rPr>
                <w:rFonts w:ascii="Arial" w:hAnsi="Arial" w:eastAsia="宋体" w:cs="Arial"/>
                <w:sz w:val="18"/>
                <w:szCs w:val="18"/>
                <w:lang w:eastAsia="ja-JP"/>
              </w:rPr>
            </w:pPr>
            <w:r>
              <w:rPr>
                <w:rFonts w:ascii="Arial" w:hAnsi="Arial" w:eastAsia="宋体" w:cs="Arial"/>
                <w:sz w:val="18"/>
                <w:szCs w:val="18"/>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0" w:type="pct"/>
            <w:shd w:val="clear" w:color="auto" w:fill="D9D9D9"/>
            <w:noWrap w:val="0"/>
            <w:vAlign w:val="top"/>
          </w:tcPr>
          <w:p>
            <w:pPr>
              <w:rPr>
                <w:rFonts w:ascii="Arial" w:hAnsi="Arial" w:eastAsia="宋体" w:cs="Arial"/>
                <w:b/>
                <w:bCs/>
                <w:sz w:val="18"/>
                <w:szCs w:val="18"/>
                <w:lang w:eastAsia="en-GB"/>
              </w:rPr>
            </w:pPr>
            <w:r>
              <w:rPr>
                <w:rFonts w:ascii="Arial" w:hAnsi="Arial" w:eastAsia="宋体" w:cs="Arial"/>
                <w:b/>
                <w:bCs/>
                <w:sz w:val="18"/>
                <w:szCs w:val="18"/>
                <w:lang w:eastAsia="en-GB"/>
              </w:rPr>
              <w:t>UP/CP tunnel</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UP tunnel (for the case of data transfer from UE to OTT server via 3GPP network)</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 xml:space="preserve">UP tunnel </w:t>
            </w: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CP tunnel (provided that the data volume remains within the NAS signalling capacity)</w:t>
            </w:r>
          </w:p>
          <w:p>
            <w:pPr>
              <w:rPr>
                <w:rFonts w:ascii="Arial" w:hAnsi="Arial" w:eastAsia="宋体" w:cs="Arial"/>
                <w:sz w:val="18"/>
                <w:szCs w:val="18"/>
                <w:lang w:eastAsia="ja-JP"/>
              </w:rPr>
            </w:pPr>
            <w:r>
              <w:rPr>
                <w:rFonts w:ascii="Arial" w:hAnsi="Arial" w:eastAsia="宋体" w:cs="Arial"/>
                <w:sz w:val="18"/>
                <w:szCs w:val="18"/>
                <w:lang w:eastAsia="ja-JP"/>
              </w:rPr>
              <w:t xml:space="preserve">FFS: UP tunnel </w:t>
            </w:r>
          </w:p>
          <w:p>
            <w:pPr>
              <w:rPr>
                <w:rFonts w:ascii="Arial" w:hAnsi="Arial" w:eastAsia="宋体" w:cs="Arial"/>
                <w:sz w:val="18"/>
                <w:szCs w:val="18"/>
                <w:lang w:eastAsia="ja-JP"/>
              </w:rPr>
            </w:pPr>
            <w:r>
              <w:rPr>
                <w:rFonts w:ascii="Arial" w:hAnsi="Arial" w:eastAsia="宋体" w:cs="Arial"/>
                <w:sz w:val="18"/>
                <w:szCs w:val="18"/>
                <w:lang w:eastAsia="ja-JP"/>
              </w:rPr>
              <w:t>(Note 7)</w:t>
            </w:r>
          </w:p>
          <w:p>
            <w:pPr>
              <w:rPr>
                <w:rFonts w:ascii="Arial" w:hAnsi="Arial" w:eastAsia="宋体" w:cs="Arial"/>
                <w:sz w:val="18"/>
                <w:szCs w:val="18"/>
                <w:lang w:eastAsia="en-GB"/>
              </w:rPr>
            </w:pP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CP tunnel (provided that the data volume remains within the RRC signalling capacity)</w:t>
            </w:r>
          </w:p>
          <w:p>
            <w:pPr>
              <w:overflowPunct w:val="0"/>
              <w:autoSpaceDE w:val="0"/>
              <w:autoSpaceDN w:val="0"/>
              <w:adjustRightInd w:val="0"/>
              <w:textAlignment w:val="baseline"/>
              <w:rPr>
                <w:rFonts w:ascii="Arial" w:hAnsi="Arial" w:eastAsia="宋体" w:cs="Arial"/>
                <w:sz w:val="18"/>
                <w:szCs w:val="18"/>
                <w:lang w:eastAsia="en-GB"/>
              </w:rPr>
            </w:pPr>
            <w:r>
              <w:rPr>
                <w:rFonts w:ascii="Arial" w:hAnsi="Arial" w:eastAsia="宋体" w:cs="Arial"/>
                <w:sz w:val="18"/>
                <w:szCs w:val="18"/>
                <w:lang w:eastAsia="ja-JP"/>
              </w:rPr>
              <w:t>FFS: UP tunnel</w:t>
            </w:r>
            <w:r>
              <w:rPr>
                <w:rFonts w:ascii="Arial" w:hAnsi="Arial" w:eastAsia="宋体" w:cs="Arial"/>
                <w:sz w:val="18"/>
                <w:szCs w:val="18"/>
                <w:lang w:eastAsia="ja-JP"/>
              </w:rPr>
              <w:br w:type="textWrapping"/>
            </w:r>
            <w:r>
              <w:rPr>
                <w:rFonts w:ascii="Arial" w:hAnsi="Arial" w:eastAsia="宋体" w:cs="Arial"/>
                <w:sz w:val="18"/>
                <w:szCs w:val="18"/>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shd w:val="clear" w:color="auto" w:fill="D9D9D9"/>
            <w:noWrap w:val="0"/>
            <w:vAlign w:val="top"/>
          </w:tcPr>
          <w:p>
            <w:pPr>
              <w:rPr>
                <w:rFonts w:ascii="Arial" w:hAnsi="Arial" w:eastAsia="宋体" w:cs="Arial"/>
                <w:b/>
                <w:bCs/>
                <w:sz w:val="18"/>
                <w:szCs w:val="18"/>
                <w:lang w:eastAsia="en-GB"/>
              </w:rPr>
            </w:pPr>
            <w:r>
              <w:rPr>
                <w:rFonts w:ascii="Arial" w:hAnsi="Arial" w:eastAsia="宋体" w:cs="Arial"/>
                <w:b/>
                <w:bCs/>
                <w:sz w:val="18"/>
                <w:szCs w:val="18"/>
                <w:lang w:eastAsia="en-GB"/>
              </w:rPr>
              <w:t>Protocol layer for data transfer</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Application layer</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Application layer</w:t>
            </w: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NAS layer for CP tunnel</w:t>
            </w:r>
          </w:p>
          <w:p>
            <w:pPr>
              <w:rPr>
                <w:rFonts w:ascii="Arial" w:hAnsi="Arial" w:eastAsia="宋体" w:cs="Arial"/>
                <w:sz w:val="18"/>
                <w:szCs w:val="18"/>
                <w:lang w:eastAsia="en-GB"/>
              </w:rPr>
            </w:pPr>
            <w:r>
              <w:rPr>
                <w:rFonts w:ascii="Arial" w:hAnsi="Arial" w:eastAsia="宋体" w:cs="Arial"/>
                <w:sz w:val="18"/>
                <w:szCs w:val="18"/>
                <w:lang w:eastAsia="ja-JP"/>
              </w:rPr>
              <w:t>FFS: the protocol layer for UP tunnel</w:t>
            </w: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RRC layer for CP tunnel</w:t>
            </w:r>
          </w:p>
          <w:p>
            <w:pPr>
              <w:overflowPunct w:val="0"/>
              <w:autoSpaceDE w:val="0"/>
              <w:autoSpaceDN w:val="0"/>
              <w:adjustRightInd w:val="0"/>
              <w:ind w:left="-17"/>
              <w:textAlignment w:val="baseline"/>
              <w:rPr>
                <w:rFonts w:ascii="Arial" w:hAnsi="Arial" w:eastAsia="宋体" w:cs="Arial"/>
                <w:sz w:val="18"/>
                <w:szCs w:val="18"/>
                <w:lang w:eastAsia="ja-JP"/>
              </w:rPr>
            </w:pPr>
            <w:r>
              <w:rPr>
                <w:rFonts w:ascii="Arial" w:hAnsi="Arial" w:eastAsia="宋体" w:cs="Arial"/>
                <w:sz w:val="18"/>
                <w:szCs w:val="18"/>
                <w:lang w:eastAsia="ja-JP"/>
              </w:rPr>
              <w:t>FFS: the protocol layer for UP tunnel</w:t>
            </w:r>
          </w:p>
          <w:p>
            <w:pPr>
              <w:overflowPunct w:val="0"/>
              <w:autoSpaceDE w:val="0"/>
              <w:autoSpaceDN w:val="0"/>
              <w:adjustRightInd w:val="0"/>
              <w:ind w:left="-17"/>
              <w:textAlignment w:val="baseline"/>
              <w:rPr>
                <w:rFonts w:ascii="Arial" w:hAnsi="Arial" w:eastAsia="宋体" w:cs="Arial"/>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shd w:val="clear" w:color="auto" w:fill="D9D9D9"/>
            <w:noWrap w:val="0"/>
            <w:vAlign w:val="top"/>
          </w:tcPr>
          <w:p>
            <w:pPr>
              <w:rPr>
                <w:rFonts w:ascii="Arial" w:hAnsi="Arial" w:eastAsia="宋体" w:cs="Arial"/>
                <w:b/>
                <w:bCs/>
                <w:sz w:val="18"/>
                <w:szCs w:val="18"/>
                <w:lang w:eastAsia="en-GB"/>
              </w:rPr>
            </w:pPr>
            <w:r>
              <w:rPr>
                <w:rFonts w:ascii="Arial" w:hAnsi="Arial" w:eastAsia="宋体" w:cs="Arial"/>
                <w:b/>
                <w:bCs/>
                <w:sz w:val="18"/>
                <w:szCs w:val="18"/>
                <w:lang w:eastAsia="en-GB"/>
              </w:rPr>
              <w:t>Controllability of MNO on data transfer</w:t>
            </w:r>
            <w:r>
              <w:rPr>
                <w:rFonts w:ascii="Arial" w:hAnsi="Arial" w:eastAsia="宋体" w:cs="Arial"/>
                <w:b/>
                <w:bCs/>
                <w:sz w:val="18"/>
                <w:szCs w:val="18"/>
                <w:lang w:eastAsia="en-GB"/>
              </w:rPr>
              <w:br w:type="textWrapping"/>
            </w:r>
            <w:r>
              <w:rPr>
                <w:rFonts w:ascii="Arial" w:hAnsi="Arial" w:eastAsia="宋体" w:cs="Arial"/>
                <w:b/>
                <w:bCs/>
                <w:sz w:val="18"/>
                <w:szCs w:val="18"/>
                <w:lang w:eastAsia="en-GB"/>
              </w:rPr>
              <w:t>(Note 1)</w:t>
            </w:r>
          </w:p>
          <w:p>
            <w:pPr>
              <w:rPr>
                <w:rFonts w:ascii="Arial" w:hAnsi="Arial" w:eastAsia="宋体" w:cs="Arial"/>
                <w:b/>
                <w:bCs/>
                <w:sz w:val="18"/>
                <w:szCs w:val="18"/>
                <w:lang w:eastAsia="en-GB"/>
              </w:rPr>
            </w:pP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No AI/ML specific controllability</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FFS: level of controllability</w:t>
            </w:r>
            <w:r>
              <w:rPr>
                <w:rFonts w:ascii="Arial" w:hAnsi="Arial" w:eastAsia="宋体" w:cs="Arial"/>
                <w:sz w:val="18"/>
                <w:szCs w:val="18"/>
                <w:lang w:eastAsia="ja-JP"/>
              </w:rPr>
              <w:br w:type="textWrapping"/>
            </w:r>
            <w:r>
              <w:rPr>
                <w:rFonts w:ascii="Arial" w:hAnsi="Arial" w:eastAsia="宋体" w:cs="Arial"/>
                <w:sz w:val="18"/>
                <w:szCs w:val="18"/>
                <w:lang w:eastAsia="en-GB"/>
              </w:rPr>
              <w:t>(Note 5)</w:t>
            </w:r>
          </w:p>
        </w:tc>
        <w:tc>
          <w:tcPr>
            <w:tcW w:w="1000" w:type="pct"/>
            <w:noWrap w:val="0"/>
            <w:vAlign w:val="top"/>
          </w:tcPr>
          <w:p>
            <w:pPr>
              <w:rPr>
                <w:rFonts w:ascii="Arial" w:hAnsi="Arial" w:eastAsia="宋体" w:cs="Arial"/>
                <w:sz w:val="18"/>
                <w:szCs w:val="18"/>
                <w:lang w:eastAsia="ja-JP"/>
              </w:rPr>
            </w:pPr>
            <w:r>
              <w:rPr>
                <w:rFonts w:ascii="Arial" w:hAnsi="Arial" w:eastAsia="宋体" w:cs="Arial"/>
                <w:sz w:val="18"/>
                <w:szCs w:val="18"/>
                <w:lang w:eastAsia="ja-JP"/>
              </w:rPr>
              <w:t xml:space="preserve">Full controllability </w:t>
            </w:r>
          </w:p>
          <w:p>
            <w:pPr>
              <w:rPr>
                <w:rFonts w:ascii="Arial" w:hAnsi="Arial" w:eastAsia="宋体" w:cs="Arial"/>
                <w:sz w:val="18"/>
                <w:szCs w:val="18"/>
                <w:lang w:eastAsia="ja-JP"/>
              </w:rPr>
            </w:pPr>
          </w:p>
          <w:p>
            <w:pPr>
              <w:rPr>
                <w:rFonts w:ascii="Arial" w:hAnsi="Arial" w:eastAsia="宋体" w:cs="Arial"/>
                <w:sz w:val="18"/>
                <w:szCs w:val="18"/>
                <w:lang w:eastAsia="en-GB"/>
              </w:rPr>
            </w:pPr>
          </w:p>
        </w:tc>
        <w:tc>
          <w:tcPr>
            <w:tcW w:w="1000" w:type="pct"/>
            <w:noWrap w:val="0"/>
            <w:vAlign w:val="top"/>
          </w:tcPr>
          <w:p>
            <w:pPr>
              <w:overflowPunct w:val="0"/>
              <w:autoSpaceDE w:val="0"/>
              <w:autoSpaceDN w:val="0"/>
              <w:adjustRightInd w:val="0"/>
              <w:ind w:left="360" w:hanging="360"/>
              <w:textAlignment w:val="baseline"/>
              <w:rPr>
                <w:rFonts w:ascii="Arial" w:hAnsi="Arial" w:eastAsia="宋体" w:cs="Arial"/>
                <w:sz w:val="18"/>
                <w:szCs w:val="18"/>
                <w:lang w:eastAsia="ja-JP"/>
              </w:rPr>
            </w:pPr>
            <w:r>
              <w:rPr>
                <w:rFonts w:ascii="Arial" w:hAnsi="Arial" w:eastAsia="宋体" w:cs="Arial"/>
                <w:sz w:val="18"/>
                <w:szCs w:val="18"/>
                <w:lang w:eastAsia="ja-JP"/>
              </w:rPr>
              <w:t>Full controllability</w:t>
            </w:r>
          </w:p>
          <w:p>
            <w:pPr>
              <w:overflowPunct w:val="0"/>
              <w:autoSpaceDE w:val="0"/>
              <w:autoSpaceDN w:val="0"/>
              <w:adjustRightInd w:val="0"/>
              <w:ind w:left="360" w:hanging="360"/>
              <w:textAlignment w:val="baseline"/>
              <w:rPr>
                <w:rFonts w:ascii="Arial" w:hAnsi="Arial" w:eastAsia="宋体" w:cs="Arial"/>
                <w:sz w:val="18"/>
                <w:szCs w:val="18"/>
                <w:lang w:eastAsia="ja-JP"/>
              </w:rPr>
            </w:pPr>
          </w:p>
          <w:p>
            <w:pPr>
              <w:overflowPunct w:val="0"/>
              <w:autoSpaceDE w:val="0"/>
              <w:autoSpaceDN w:val="0"/>
              <w:adjustRightInd w:val="0"/>
              <w:ind w:left="360" w:hanging="360"/>
              <w:textAlignment w:val="baseline"/>
              <w:rPr>
                <w:rFonts w:ascii="Arial" w:hAnsi="Arial" w:eastAsia="宋体" w:cs="Arial"/>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shd w:val="clear" w:color="auto" w:fill="D9D9D9"/>
            <w:noWrap w:val="0"/>
            <w:vAlign w:val="top"/>
          </w:tcPr>
          <w:p>
            <w:pPr>
              <w:rPr>
                <w:rFonts w:ascii="Arial" w:hAnsi="Arial" w:eastAsia="宋体" w:cs="Arial"/>
                <w:b/>
                <w:bCs/>
                <w:sz w:val="18"/>
                <w:szCs w:val="18"/>
                <w:lang w:eastAsia="en-GB"/>
              </w:rPr>
            </w:pPr>
            <w:r>
              <w:rPr>
                <w:rFonts w:ascii="Arial" w:hAnsi="Arial" w:eastAsia="宋体" w:cs="Arial"/>
                <w:b/>
                <w:bCs/>
                <w:sz w:val="18"/>
                <w:szCs w:val="18"/>
                <w:lang w:eastAsia="en-GB"/>
              </w:rPr>
              <w:t>Solution for network controllability</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N/A (the OTT server can directly request data from the UE)</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 xml:space="preserve">Example: per PDU sessions </w:t>
            </w:r>
          </w:p>
        </w:tc>
        <w:tc>
          <w:tcPr>
            <w:tcW w:w="1000" w:type="pct"/>
            <w:noWrap w:val="0"/>
            <w:vAlign w:val="top"/>
          </w:tcPr>
          <w:p>
            <w:pPr>
              <w:rPr>
                <w:rFonts w:ascii="Arial" w:hAnsi="Arial" w:eastAsia="宋体" w:cs="Arial"/>
                <w:sz w:val="18"/>
                <w:szCs w:val="18"/>
                <w:lang w:eastAsia="ja-JP"/>
              </w:rPr>
            </w:pPr>
            <w:r>
              <w:rPr>
                <w:rFonts w:ascii="Arial" w:hAnsi="Arial" w:eastAsia="宋体" w:cs="Arial"/>
                <w:sz w:val="18"/>
                <w:szCs w:val="18"/>
                <w:lang w:eastAsia="ja-JP"/>
              </w:rPr>
              <w:t>Via NAS procedure or FFS other procedures</w:t>
            </w:r>
          </w:p>
          <w:p>
            <w:pPr>
              <w:rPr>
                <w:rFonts w:ascii="Arial" w:hAnsi="Arial" w:eastAsia="宋体" w:cs="Arial"/>
                <w:sz w:val="18"/>
                <w:szCs w:val="18"/>
                <w:lang w:eastAsia="en-GB"/>
              </w:rPr>
            </w:pPr>
          </w:p>
        </w:tc>
        <w:tc>
          <w:tcPr>
            <w:tcW w:w="1000" w:type="pct"/>
            <w:noWrap w:val="0"/>
            <w:vAlign w:val="top"/>
          </w:tcPr>
          <w:p>
            <w:pPr>
              <w:overflowPunct w:val="0"/>
              <w:autoSpaceDE w:val="0"/>
              <w:autoSpaceDN w:val="0"/>
              <w:adjustRightInd w:val="0"/>
              <w:ind w:left="360" w:hanging="360"/>
              <w:textAlignment w:val="baseline"/>
              <w:rPr>
                <w:rFonts w:ascii="Arial" w:hAnsi="Arial" w:eastAsia="宋体" w:cs="Arial"/>
                <w:sz w:val="18"/>
                <w:szCs w:val="18"/>
                <w:lang w:eastAsia="en-GB"/>
              </w:rPr>
            </w:pPr>
            <w:r>
              <w:rPr>
                <w:rFonts w:ascii="Arial" w:hAnsi="Arial" w:eastAsia="宋体" w:cs="Arial"/>
                <w:sz w:val="18"/>
                <w:szCs w:val="18"/>
                <w:lang w:eastAsia="ja-JP"/>
              </w:rPr>
              <w:t>Via RRC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shd w:val="clear" w:color="auto" w:fill="D9D9D9"/>
            <w:noWrap w:val="0"/>
            <w:vAlign w:val="top"/>
          </w:tcPr>
          <w:p>
            <w:pPr>
              <w:rPr>
                <w:rFonts w:ascii="Arial" w:hAnsi="Arial" w:eastAsia="宋体" w:cs="Arial"/>
                <w:b/>
                <w:bCs/>
                <w:sz w:val="18"/>
                <w:szCs w:val="18"/>
                <w:lang w:eastAsia="en-GB"/>
              </w:rPr>
            </w:pPr>
            <w:r>
              <w:rPr>
                <w:rFonts w:ascii="Arial" w:hAnsi="Arial" w:eastAsia="宋体" w:cs="Arial"/>
                <w:b/>
                <w:bCs/>
                <w:sz w:val="18"/>
                <w:szCs w:val="18"/>
                <w:lang w:eastAsia="en-GB"/>
              </w:rPr>
              <w:t xml:space="preserve">Possible Options for Visibility of data content in MNO and Data format </w:t>
            </w:r>
            <w:r>
              <w:rPr>
                <w:rFonts w:ascii="Arial" w:hAnsi="Arial" w:eastAsia="宋体" w:cs="Arial"/>
                <w:b/>
                <w:bCs/>
                <w:sz w:val="18"/>
                <w:szCs w:val="18"/>
                <w:lang w:eastAsia="en-GB"/>
              </w:rPr>
              <w:br w:type="textWrapping"/>
            </w:r>
            <w:r>
              <w:rPr>
                <w:rFonts w:ascii="Arial" w:hAnsi="Arial" w:eastAsia="宋体" w:cs="Arial"/>
                <w:b/>
                <w:bCs/>
                <w:sz w:val="18"/>
                <w:szCs w:val="18"/>
                <w:lang w:eastAsia="en-GB"/>
              </w:rPr>
              <w:t xml:space="preserve">(Note 2, Note 3) </w:t>
            </w: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No standardized visibility</w:t>
            </w:r>
          </w:p>
          <w:p>
            <w:pPr>
              <w:rPr>
                <w:rFonts w:ascii="Arial" w:hAnsi="Arial" w:eastAsia="宋体" w:cs="Arial"/>
                <w:sz w:val="18"/>
                <w:szCs w:val="18"/>
                <w:lang w:eastAsia="en-GB"/>
              </w:rPr>
            </w:pP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rPr>
              <w:t>FFS on level of visibility</w:t>
            </w:r>
            <w:r>
              <w:rPr>
                <w:rFonts w:ascii="Arial" w:hAnsi="Arial" w:eastAsia="宋体" w:cs="Arial"/>
                <w:sz w:val="18"/>
                <w:szCs w:val="18"/>
              </w:rPr>
              <w:br w:type="textWrapping"/>
            </w:r>
            <w:r>
              <w:rPr>
                <w:rFonts w:ascii="Arial" w:hAnsi="Arial" w:eastAsia="宋体" w:cs="Arial"/>
                <w:sz w:val="18"/>
                <w:szCs w:val="18"/>
              </w:rPr>
              <w:t>(Note 5)</w:t>
            </w: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Opt A) Full visibility for standardized data contents.</w:t>
            </w:r>
          </w:p>
          <w:p>
            <w:pPr>
              <w:spacing w:after="180"/>
              <w:rPr>
                <w:rFonts w:ascii="Arial" w:hAnsi="Arial" w:eastAsia="宋体" w:cs="Arial"/>
                <w:sz w:val="18"/>
                <w:szCs w:val="18"/>
                <w:lang w:eastAsia="ja-JP"/>
              </w:rPr>
            </w:pPr>
            <w:r>
              <w:rPr>
                <w:rFonts w:ascii="Arial" w:hAnsi="Arial" w:eastAsia="宋体" w:cs="Arial"/>
                <w:sz w:val="18"/>
                <w:szCs w:val="18"/>
                <w:lang w:eastAsia="ja-JP"/>
              </w:rPr>
              <w:t xml:space="preserve">Opt B) Partial visibility for partially standardized data contents. </w:t>
            </w:r>
            <w:r>
              <w:rPr>
                <w:rFonts w:ascii="Arial" w:hAnsi="Arial" w:eastAsia="宋体" w:cs="Arial"/>
                <w:sz w:val="18"/>
                <w:szCs w:val="18"/>
                <w:lang w:eastAsia="ja-JP"/>
              </w:rPr>
              <w:br w:type="textWrapping"/>
            </w:r>
            <w:r>
              <w:rPr>
                <w:rFonts w:ascii="Arial" w:hAnsi="Arial" w:eastAsia="宋体" w:cs="Arial"/>
                <w:sz w:val="18"/>
                <w:szCs w:val="18"/>
                <w:lang w:eastAsia="ja-JP"/>
              </w:rPr>
              <w:t>(Note 6)</w:t>
            </w:r>
          </w:p>
          <w:p>
            <w:pPr>
              <w:spacing w:after="180"/>
              <w:rPr>
                <w:rFonts w:ascii="Arial" w:hAnsi="Arial" w:eastAsia="宋体" w:cs="Arial"/>
                <w:sz w:val="18"/>
                <w:szCs w:val="18"/>
                <w:lang w:eastAsia="en-GB"/>
              </w:rPr>
            </w:pPr>
            <w:r>
              <w:rPr>
                <w:rFonts w:ascii="Arial" w:hAnsi="Arial" w:eastAsia="宋体" w:cs="Arial"/>
                <w:sz w:val="18"/>
                <w:szCs w:val="18"/>
                <w:lang w:eastAsia="ja-JP"/>
              </w:rPr>
              <w:t>Opt C) No standardized visibility.</w:t>
            </w:r>
            <w:r>
              <w:rPr>
                <w:rFonts w:ascii="Arial" w:hAnsi="Arial" w:eastAsia="宋体" w:cs="Arial"/>
                <w:sz w:val="18"/>
                <w:szCs w:val="18"/>
                <w:lang w:eastAsia="ja-JP"/>
              </w:rPr>
              <w:br w:type="textWrapping"/>
            </w:r>
            <w:r>
              <w:rPr>
                <w:rFonts w:ascii="Arial" w:hAnsi="Arial" w:eastAsia="宋体" w:cs="Arial"/>
                <w:sz w:val="18"/>
                <w:szCs w:val="18"/>
                <w:lang w:eastAsia="ja-JP"/>
              </w:rPr>
              <w:t>(Note 6)</w:t>
            </w:r>
          </w:p>
        </w:tc>
        <w:tc>
          <w:tcPr>
            <w:tcW w:w="1000" w:type="pct"/>
            <w:noWrap w:val="0"/>
            <w:vAlign w:val="top"/>
          </w:tcPr>
          <w:p>
            <w:pPr>
              <w:spacing w:after="180"/>
              <w:rPr>
                <w:rFonts w:ascii="Arial" w:hAnsi="Arial" w:eastAsia="宋体" w:cs="Arial"/>
                <w:sz w:val="18"/>
                <w:szCs w:val="18"/>
                <w:lang w:eastAsia="ja-JP"/>
              </w:rPr>
            </w:pPr>
            <w:r>
              <w:rPr>
                <w:rFonts w:ascii="Arial" w:hAnsi="Arial" w:eastAsia="宋体" w:cs="Arial"/>
                <w:sz w:val="18"/>
                <w:szCs w:val="18"/>
                <w:lang w:eastAsia="ja-JP"/>
              </w:rPr>
              <w:t>Opt A) Full visibility for standardized data contents.</w:t>
            </w:r>
          </w:p>
          <w:p>
            <w:pPr>
              <w:spacing w:after="180"/>
              <w:rPr>
                <w:rFonts w:ascii="Arial" w:hAnsi="Arial" w:eastAsia="宋体" w:cs="Arial"/>
                <w:sz w:val="18"/>
                <w:szCs w:val="18"/>
                <w:lang w:eastAsia="ja-JP"/>
              </w:rPr>
            </w:pPr>
            <w:r>
              <w:rPr>
                <w:rFonts w:ascii="Arial" w:hAnsi="Arial" w:eastAsia="宋体" w:cs="Arial"/>
                <w:sz w:val="18"/>
                <w:szCs w:val="18"/>
                <w:lang w:eastAsia="ja-JP"/>
              </w:rPr>
              <w:t xml:space="preserve">Opt B) Partial visibility for partially standardized data contents. </w:t>
            </w:r>
            <w:r>
              <w:rPr>
                <w:rFonts w:ascii="Arial" w:hAnsi="Arial" w:eastAsia="宋体" w:cs="Arial"/>
                <w:sz w:val="18"/>
                <w:szCs w:val="18"/>
                <w:lang w:eastAsia="ja-JP"/>
              </w:rPr>
              <w:br w:type="textWrapping"/>
            </w:r>
            <w:r>
              <w:rPr>
                <w:rFonts w:ascii="Arial" w:hAnsi="Arial" w:eastAsia="宋体" w:cs="Arial"/>
                <w:sz w:val="18"/>
                <w:szCs w:val="18"/>
                <w:lang w:eastAsia="ja-JP"/>
              </w:rPr>
              <w:t>(Note 6)</w:t>
            </w:r>
          </w:p>
          <w:p>
            <w:pPr>
              <w:spacing w:after="180"/>
              <w:rPr>
                <w:rFonts w:ascii="Arial" w:hAnsi="Arial" w:eastAsia="宋体" w:cs="Arial"/>
                <w:sz w:val="18"/>
                <w:szCs w:val="18"/>
                <w:lang w:eastAsia="ja-JP"/>
              </w:rPr>
            </w:pPr>
            <w:r>
              <w:rPr>
                <w:rFonts w:ascii="Arial" w:hAnsi="Arial" w:eastAsia="宋体" w:cs="Arial"/>
                <w:sz w:val="18"/>
                <w:szCs w:val="18"/>
                <w:lang w:eastAsia="ja-JP"/>
              </w:rPr>
              <w:t>Opt C) No standardized visibility.</w:t>
            </w:r>
            <w:r>
              <w:rPr>
                <w:rFonts w:ascii="Arial" w:hAnsi="Arial" w:eastAsia="宋体" w:cs="Arial"/>
                <w:sz w:val="18"/>
                <w:szCs w:val="18"/>
                <w:lang w:eastAsia="ja-JP"/>
              </w:rPr>
              <w:br w:type="textWrapping"/>
            </w:r>
            <w:r>
              <w:rPr>
                <w:rFonts w:ascii="Arial" w:hAnsi="Arial" w:eastAsia="宋体" w:cs="Arial"/>
                <w:sz w:val="18"/>
                <w:szCs w:val="18"/>
                <w:lang w:eastAsia="ja-JP"/>
              </w:rPr>
              <w:t>(Note 6)</w:t>
            </w:r>
          </w:p>
          <w:p>
            <w:pPr>
              <w:spacing w:after="180"/>
              <w:rPr>
                <w:rFonts w:ascii="Arial" w:hAnsi="Arial" w:eastAsia="宋体" w:cs="Arial"/>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shd w:val="clear" w:color="auto" w:fill="D9D9D9"/>
            <w:noWrap w:val="0"/>
            <w:vAlign w:val="top"/>
          </w:tcPr>
          <w:p>
            <w:pPr>
              <w:rPr>
                <w:rFonts w:ascii="Arial" w:hAnsi="Arial" w:eastAsia="宋体" w:cs="Arial"/>
                <w:b/>
                <w:bCs/>
                <w:sz w:val="18"/>
                <w:szCs w:val="18"/>
                <w:lang w:eastAsia="en-GB"/>
              </w:rPr>
            </w:pPr>
            <w:r>
              <w:rPr>
                <w:rFonts w:ascii="Arial" w:hAnsi="Arial" w:eastAsia="宋体" w:cs="Arial"/>
                <w:b/>
                <w:bCs/>
                <w:sz w:val="18"/>
                <w:szCs w:val="18"/>
                <w:lang w:eastAsia="en-GB"/>
              </w:rPr>
              <w:t>Impacted WGs</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N/A</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SA2, SA3, RAN2, RAN3, CT1</w:t>
            </w:r>
          </w:p>
        </w:tc>
        <w:tc>
          <w:tcPr>
            <w:tcW w:w="1000" w:type="pct"/>
            <w:noWrap w:val="0"/>
            <w:vAlign w:val="top"/>
          </w:tcPr>
          <w:p>
            <w:pPr>
              <w:rPr>
                <w:rFonts w:ascii="Arial" w:hAnsi="Arial" w:eastAsia="宋体" w:cs="Arial"/>
                <w:sz w:val="18"/>
                <w:szCs w:val="18"/>
                <w:lang w:eastAsia="en-GB"/>
              </w:rPr>
            </w:pPr>
            <w:r>
              <w:rPr>
                <w:rFonts w:ascii="Arial" w:hAnsi="Arial" w:eastAsia="宋体" w:cs="Arial"/>
                <w:sz w:val="18"/>
                <w:szCs w:val="18"/>
                <w:lang w:eastAsia="ja-JP"/>
              </w:rPr>
              <w:t>SA2, SA3, RAN3, RAN2, CT1 and CT3</w:t>
            </w:r>
          </w:p>
        </w:tc>
        <w:tc>
          <w:tcPr>
            <w:tcW w:w="1000" w:type="pct"/>
            <w:noWrap w:val="0"/>
            <w:vAlign w:val="top"/>
          </w:tcPr>
          <w:p>
            <w:pPr>
              <w:overflowPunct w:val="0"/>
              <w:autoSpaceDE w:val="0"/>
              <w:autoSpaceDN w:val="0"/>
              <w:adjustRightInd w:val="0"/>
              <w:ind w:left="360" w:hanging="360"/>
              <w:textAlignment w:val="baseline"/>
              <w:rPr>
                <w:rFonts w:ascii="Arial" w:hAnsi="Arial" w:eastAsia="宋体" w:cs="Arial"/>
                <w:sz w:val="18"/>
                <w:szCs w:val="18"/>
                <w:lang w:val="fi-FI" w:eastAsia="ja-JP"/>
              </w:rPr>
            </w:pPr>
            <w:r>
              <w:rPr>
                <w:rFonts w:ascii="Arial" w:hAnsi="Arial" w:eastAsia="宋体" w:cs="Arial"/>
                <w:sz w:val="18"/>
                <w:szCs w:val="18"/>
                <w:lang w:val="fi-FI" w:eastAsia="ja-JP"/>
              </w:rPr>
              <w:t xml:space="preserve">RAN2, RAN3, SA3, </w:t>
            </w:r>
          </w:p>
          <w:p>
            <w:pPr>
              <w:overflowPunct w:val="0"/>
              <w:autoSpaceDE w:val="0"/>
              <w:autoSpaceDN w:val="0"/>
              <w:adjustRightInd w:val="0"/>
              <w:ind w:left="360" w:hanging="360"/>
              <w:textAlignment w:val="baseline"/>
              <w:rPr>
                <w:rFonts w:ascii="Arial" w:hAnsi="Arial" w:eastAsia="宋体" w:cs="Arial"/>
                <w:sz w:val="18"/>
                <w:szCs w:val="18"/>
                <w:lang w:val="fi-FI" w:eastAsia="ja-JP"/>
              </w:rPr>
            </w:pPr>
            <w:r>
              <w:rPr>
                <w:rFonts w:ascii="Arial" w:hAnsi="Arial" w:eastAsia="宋体" w:cs="Arial"/>
                <w:sz w:val="18"/>
                <w:szCs w:val="18"/>
                <w:lang w:val="fi-FI" w:eastAsia="ja-JP"/>
              </w:rPr>
              <w:t>SA5, SA2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noWrap w:val="0"/>
            <w:vAlign w:val="top"/>
          </w:tcPr>
          <w:p>
            <w:pPr>
              <w:pStyle w:val="86"/>
              <w:numPr>
                <w:ilvl w:val="0"/>
                <w:numId w:val="1"/>
              </w:numPr>
              <w:overflowPunct/>
              <w:autoSpaceDE/>
              <w:autoSpaceDN/>
              <w:adjustRightInd/>
              <w:spacing w:after="0" w:line="259" w:lineRule="auto"/>
              <w:textAlignment w:val="auto"/>
              <w:rPr>
                <w:rFonts w:ascii="Arial" w:hAnsi="Arial" w:eastAsia="宋体" w:cs="Arial"/>
                <w:sz w:val="18"/>
                <w:szCs w:val="18"/>
                <w:lang w:eastAsia="ja-JP"/>
              </w:rPr>
            </w:pPr>
            <w:r>
              <w:rPr>
                <w:rFonts w:ascii="Arial" w:hAnsi="Arial" w:eastAsia="宋体"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pPr>
              <w:pStyle w:val="86"/>
              <w:numPr>
                <w:ilvl w:val="0"/>
                <w:numId w:val="1"/>
              </w:numPr>
              <w:overflowPunct/>
              <w:autoSpaceDE/>
              <w:autoSpaceDN/>
              <w:adjustRightInd/>
              <w:spacing w:after="0" w:line="259" w:lineRule="auto"/>
              <w:textAlignment w:val="auto"/>
              <w:rPr>
                <w:rFonts w:ascii="Arial" w:hAnsi="Arial" w:eastAsia="宋体" w:cs="Arial"/>
                <w:sz w:val="18"/>
                <w:szCs w:val="18"/>
                <w:lang w:eastAsia="ja-JP"/>
              </w:rPr>
            </w:pPr>
            <w:r>
              <w:rPr>
                <w:rFonts w:ascii="Arial" w:hAnsi="Arial" w:eastAsia="宋体" w:cs="Arial"/>
                <w:sz w:val="18"/>
                <w:szCs w:val="18"/>
                <w:lang w:eastAsia="ja-JP"/>
              </w:rPr>
              <w:t>Note 2: Visibility of data content signifies that the MNO can, at least, be aware of, access, and comprehend the data without the need of SLA.</w:t>
            </w:r>
          </w:p>
          <w:p>
            <w:pPr>
              <w:pStyle w:val="86"/>
              <w:numPr>
                <w:ilvl w:val="0"/>
                <w:numId w:val="1"/>
              </w:numPr>
              <w:overflowPunct/>
              <w:autoSpaceDE/>
              <w:autoSpaceDN/>
              <w:adjustRightInd/>
              <w:spacing w:after="0" w:line="259" w:lineRule="auto"/>
              <w:textAlignment w:val="auto"/>
              <w:rPr>
                <w:rFonts w:ascii="Arial" w:hAnsi="Arial" w:eastAsia="宋体" w:cs="Arial"/>
                <w:sz w:val="18"/>
                <w:szCs w:val="18"/>
                <w:lang w:eastAsia="ja-JP"/>
              </w:rPr>
            </w:pPr>
            <w:r>
              <w:rPr>
                <w:rFonts w:ascii="Arial" w:hAnsi="Arial" w:eastAsia="宋体" w:cs="Arial"/>
                <w:sz w:val="18"/>
                <w:szCs w:val="18"/>
              </w:rPr>
              <w:t>Note 3: T</w:t>
            </w:r>
            <w:r>
              <w:rPr>
                <w:rFonts w:ascii="Arial" w:hAnsi="Arial" w:eastAsia="宋体" w:cs="Arial"/>
                <w:sz w:val="18"/>
                <w:szCs w:val="18"/>
                <w:lang w:eastAsia="ja-JP"/>
              </w:rPr>
              <w:t>he following options are identified to realize the different levels of data content visibility to the MNO:</w:t>
            </w:r>
          </w:p>
          <w:p>
            <w:pPr>
              <w:pStyle w:val="86"/>
              <w:numPr>
                <w:ilvl w:val="1"/>
                <w:numId w:val="2"/>
              </w:numPr>
              <w:overflowPunct/>
              <w:autoSpaceDE/>
              <w:autoSpaceDN/>
              <w:adjustRightInd/>
              <w:spacing w:after="0" w:line="259" w:lineRule="auto"/>
              <w:textAlignment w:val="auto"/>
              <w:rPr>
                <w:rFonts w:ascii="Arial" w:hAnsi="Arial" w:eastAsia="宋体" w:cs="Arial"/>
                <w:sz w:val="18"/>
                <w:szCs w:val="18"/>
                <w:lang w:eastAsia="ja-JP"/>
              </w:rPr>
            </w:pPr>
            <w:r>
              <w:rPr>
                <w:rFonts w:ascii="Arial" w:hAnsi="Arial" w:eastAsia="宋体" w:cs="Arial"/>
                <w:sz w:val="18"/>
                <w:szCs w:val="18"/>
                <w:lang w:eastAsia="ja-JP"/>
              </w:rPr>
              <w:t>Full visibility for standardized data content.</w:t>
            </w:r>
          </w:p>
          <w:p>
            <w:pPr>
              <w:pStyle w:val="86"/>
              <w:numPr>
                <w:ilvl w:val="1"/>
                <w:numId w:val="2"/>
              </w:numPr>
              <w:overflowPunct/>
              <w:autoSpaceDE/>
              <w:autoSpaceDN/>
              <w:adjustRightInd/>
              <w:spacing w:after="0" w:line="259" w:lineRule="auto"/>
              <w:textAlignment w:val="auto"/>
              <w:rPr>
                <w:rFonts w:ascii="Arial" w:hAnsi="Arial" w:eastAsia="宋体" w:cs="Arial"/>
                <w:sz w:val="18"/>
                <w:szCs w:val="18"/>
                <w:lang w:eastAsia="ja-JP"/>
              </w:rPr>
            </w:pPr>
            <w:r>
              <w:rPr>
                <w:rFonts w:ascii="Arial" w:hAnsi="Arial" w:eastAsia="宋体" w:cs="Arial"/>
                <w:sz w:val="18"/>
                <w:szCs w:val="18"/>
                <w:lang w:eastAsia="ja-JP"/>
              </w:rPr>
              <w:t>Partial visibility for partially standardized data content (e.g. UE proprietary information can be included transparently together with the standardized data message).</w:t>
            </w:r>
          </w:p>
          <w:p>
            <w:pPr>
              <w:pStyle w:val="86"/>
              <w:numPr>
                <w:ilvl w:val="1"/>
                <w:numId w:val="2"/>
              </w:numPr>
              <w:overflowPunct/>
              <w:autoSpaceDE/>
              <w:autoSpaceDN/>
              <w:adjustRightInd/>
              <w:spacing w:after="0" w:line="259" w:lineRule="auto"/>
              <w:textAlignment w:val="auto"/>
              <w:rPr>
                <w:rFonts w:ascii="Arial" w:hAnsi="Arial" w:eastAsia="宋体" w:cs="Arial"/>
                <w:sz w:val="18"/>
                <w:szCs w:val="18"/>
              </w:rPr>
            </w:pPr>
            <w:r>
              <w:rPr>
                <w:rFonts w:ascii="Arial" w:hAnsi="Arial" w:eastAsia="宋体" w:cs="Arial"/>
                <w:sz w:val="18"/>
                <w:szCs w:val="18"/>
                <w:lang w:eastAsia="ja-JP"/>
              </w:rPr>
              <w:t>No standardized visibility (e.g. only UE proprietary information can be included transparently).</w:t>
            </w:r>
          </w:p>
          <w:p>
            <w:pPr>
              <w:pStyle w:val="86"/>
              <w:numPr>
                <w:ilvl w:val="0"/>
                <w:numId w:val="2"/>
              </w:numPr>
              <w:overflowPunct/>
              <w:autoSpaceDE/>
              <w:autoSpaceDN/>
              <w:adjustRightInd/>
              <w:spacing w:after="0" w:line="259" w:lineRule="auto"/>
              <w:textAlignment w:val="auto"/>
              <w:rPr>
                <w:rFonts w:ascii="Arial" w:hAnsi="Arial" w:eastAsia="宋体" w:cs="Arial"/>
                <w:sz w:val="18"/>
                <w:szCs w:val="18"/>
              </w:rPr>
            </w:pPr>
            <w:r>
              <w:rPr>
                <w:rFonts w:ascii="Arial" w:hAnsi="Arial" w:eastAsia="宋体" w:cs="Arial"/>
                <w:sz w:val="18"/>
                <w:szCs w:val="18"/>
              </w:rPr>
              <w:t>Note 4: The potential involvement of NF or other higher layers entities/functionalities should be discussed in other WGs. Impact on the OTT server is not in the scope of RAN2 discussion.</w:t>
            </w:r>
          </w:p>
          <w:p>
            <w:pPr>
              <w:pStyle w:val="86"/>
              <w:numPr>
                <w:ilvl w:val="0"/>
                <w:numId w:val="2"/>
              </w:numPr>
              <w:overflowPunct/>
              <w:autoSpaceDE/>
              <w:autoSpaceDN/>
              <w:adjustRightInd/>
              <w:spacing w:after="0" w:line="259" w:lineRule="auto"/>
              <w:textAlignment w:val="auto"/>
              <w:rPr>
                <w:rFonts w:ascii="Arial" w:hAnsi="Arial" w:eastAsia="宋体" w:cs="Arial"/>
                <w:sz w:val="18"/>
                <w:szCs w:val="18"/>
              </w:rPr>
            </w:pPr>
            <w:r>
              <w:rPr>
                <w:rFonts w:ascii="Arial" w:hAnsi="Arial" w:eastAsia="宋体" w:cs="Arial"/>
                <w:sz w:val="18"/>
                <w:szCs w:val="18"/>
              </w:rPr>
              <w:t>Note 5: RAN2 cannot reach consensus on the level of MNO controllability and visibility possible via solution 1b without input from SA groups.</w:t>
            </w:r>
          </w:p>
          <w:p>
            <w:pPr>
              <w:pStyle w:val="86"/>
              <w:numPr>
                <w:ilvl w:val="0"/>
                <w:numId w:val="2"/>
              </w:numPr>
              <w:overflowPunct/>
              <w:autoSpaceDE/>
              <w:autoSpaceDN/>
              <w:adjustRightInd/>
              <w:spacing w:after="0" w:line="259" w:lineRule="auto"/>
              <w:textAlignment w:val="auto"/>
              <w:rPr>
                <w:rFonts w:ascii="Arial" w:hAnsi="Arial" w:eastAsia="宋体" w:cs="Arial"/>
                <w:sz w:val="18"/>
                <w:szCs w:val="18"/>
              </w:rPr>
            </w:pPr>
            <w:r>
              <w:rPr>
                <w:rFonts w:ascii="Arial" w:hAnsi="Arial" w:eastAsia="宋体" w:cs="Arial"/>
                <w:sz w:val="18"/>
                <w:szCs w:val="18"/>
                <w:lang w:eastAsia="ja-JP"/>
              </w:rPr>
              <w:t>Note 6: RAN2 has not concluded on the need for partial and no visibility options.</w:t>
            </w:r>
          </w:p>
          <w:p>
            <w:pPr>
              <w:pStyle w:val="86"/>
              <w:numPr>
                <w:ilvl w:val="0"/>
                <w:numId w:val="2"/>
              </w:numPr>
              <w:overflowPunct/>
              <w:autoSpaceDE/>
              <w:autoSpaceDN/>
              <w:adjustRightInd/>
              <w:spacing w:after="0" w:line="259" w:lineRule="auto"/>
              <w:textAlignment w:val="auto"/>
              <w:rPr>
                <w:rFonts w:ascii="Arial" w:hAnsi="Arial" w:eastAsia="宋体" w:cs="Arial"/>
                <w:sz w:val="18"/>
                <w:szCs w:val="18"/>
              </w:rPr>
            </w:pPr>
            <w:r>
              <w:rPr>
                <w:rFonts w:ascii="Arial" w:hAnsi="Arial" w:eastAsia="宋体" w:cs="Arial"/>
                <w:sz w:val="18"/>
                <w:szCs w:val="18"/>
              </w:rPr>
              <w:t>Note 7: RAN2 could not reach consensus on the feasibility of UP solution in options 2 and 3.</w:t>
            </w:r>
          </w:p>
        </w:tc>
      </w:tr>
    </w:tbl>
    <w:p/>
    <w:p>
      <w:pPr>
        <w:rPr>
          <w:rFonts w:hint="default" w:eastAsiaTheme="minorEastAsia"/>
          <w:lang w:val="en-US" w:eastAsia="zh-CN"/>
        </w:rPr>
      </w:pPr>
      <w:r>
        <w:rPr>
          <w:rFonts w:hint="eastAsia"/>
          <w:lang w:val="en-US" w:eastAsia="zh-CN"/>
        </w:rPr>
        <w:t>The followings are the agreed way forward of RAN#105.</w:t>
      </w:r>
    </w:p>
    <w:p>
      <w:pPr>
        <w:adjustRightInd w:val="0"/>
        <w:snapToGrid w:val="0"/>
        <w:spacing w:before="120" w:beforeLines="50" w:after="120" w:afterLines="50"/>
        <w:rPr>
          <w:b/>
          <w:bCs/>
          <w:u w:val="single"/>
        </w:rPr>
      </w:pPr>
      <w:r>
        <w:rPr>
          <w:b/>
          <w:bCs/>
          <w:u w:val="single"/>
        </w:rPr>
        <w:t>RAN#105 way forward and requirements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spacing w:after="180"/>
              <w:rPr>
                <w:rStyle w:val="31"/>
                <w:rFonts w:eastAsia="宋体"/>
              </w:rPr>
            </w:pPr>
            <w:bookmarkStart w:id="1" w:name="_Hlk176821319"/>
            <w:r>
              <w:rPr>
                <w:rStyle w:val="31"/>
                <w:rFonts w:eastAsia="宋体"/>
                <w:b w:val="0"/>
                <w:bCs w:val="0"/>
              </w:rPr>
              <w:t>RAN has agreed to the following</w:t>
            </w:r>
            <w:r>
              <w:rPr>
                <w:rStyle w:val="31"/>
                <w:rFonts w:eastAsia="宋体"/>
              </w:rPr>
              <w:t xml:space="preserve"> requirements for data collection for UE sided model training for standardized solution (if standardized) (i.e. Option 1b, 2, 3).  Option 1a is not precluded.  </w:t>
            </w:r>
          </w:p>
          <w:p>
            <w:pPr>
              <w:pStyle w:val="86"/>
              <w:numPr>
                <w:ilvl w:val="2"/>
                <w:numId w:val="3"/>
              </w:numPr>
              <w:overflowPunct/>
              <w:autoSpaceDE/>
              <w:autoSpaceDN/>
              <w:adjustRightInd/>
              <w:spacing w:after="160" w:line="259" w:lineRule="auto"/>
              <w:textAlignment w:val="auto"/>
              <w:rPr>
                <w:rFonts w:eastAsia="宋体"/>
                <w:bCs/>
                <w:sz w:val="20"/>
                <w:szCs w:val="20"/>
              </w:rPr>
            </w:pPr>
            <w:r>
              <w:rPr>
                <w:rFonts w:eastAsia="宋体"/>
                <w:bCs/>
                <w:sz w:val="20"/>
                <w:szCs w:val="20"/>
              </w:rPr>
              <w:t xml:space="preserve">The data collected is secured and data integrity and confidentiality for that data is </w:t>
            </w:r>
            <w:r>
              <w:rPr>
                <w:rFonts w:eastAsia="宋体"/>
                <w:sz w:val="20"/>
                <w:szCs w:val="20"/>
              </w:rPr>
              <w:t>ensured</w:t>
            </w:r>
            <w:r>
              <w:rPr>
                <w:rFonts w:eastAsia="宋体"/>
                <w:bCs/>
                <w:sz w:val="20"/>
                <w:szCs w:val="20"/>
              </w:rPr>
              <w:t>.</w:t>
            </w:r>
          </w:p>
          <w:p>
            <w:pPr>
              <w:pStyle w:val="86"/>
              <w:numPr>
                <w:ilvl w:val="2"/>
                <w:numId w:val="3"/>
              </w:numPr>
              <w:overflowPunct/>
              <w:autoSpaceDE/>
              <w:autoSpaceDN/>
              <w:adjustRightInd/>
              <w:spacing w:after="160" w:line="259" w:lineRule="auto"/>
              <w:textAlignment w:val="auto"/>
              <w:rPr>
                <w:rFonts w:eastAsia="宋体"/>
                <w:bCs/>
                <w:sz w:val="20"/>
                <w:szCs w:val="20"/>
              </w:rPr>
            </w:pPr>
            <w:r>
              <w:rPr>
                <w:rFonts w:eastAsia="宋体"/>
                <w:bCs/>
                <w:sz w:val="20"/>
                <w:szCs w:val="20"/>
              </w:rPr>
              <w:t>User data  privacy, anonymity and user consent is respected.</w:t>
            </w:r>
          </w:p>
          <w:p>
            <w:pPr>
              <w:pStyle w:val="86"/>
              <w:numPr>
                <w:ilvl w:val="2"/>
                <w:numId w:val="3"/>
              </w:numPr>
              <w:overflowPunct/>
              <w:autoSpaceDE/>
              <w:autoSpaceDN/>
              <w:adjustRightInd/>
              <w:spacing w:after="160" w:line="259" w:lineRule="auto"/>
              <w:textAlignment w:val="auto"/>
              <w:rPr>
                <w:rStyle w:val="88"/>
                <w:rFonts w:eastAsia="宋体"/>
                <w:bCs/>
                <w:sz w:val="20"/>
                <w:szCs w:val="20"/>
              </w:rPr>
            </w:pPr>
            <w:r>
              <w:rPr>
                <w:rStyle w:val="88"/>
                <w:rFonts w:eastAsia="宋体"/>
                <w:bCs/>
                <w:sz w:val="20"/>
                <w:szCs w:val="20"/>
              </w:rPr>
              <w:t>The MNO has full control of the standardized data collection transfer process and can manage data transfer to the server for UE-side data collection, without the need of SLA for this purpose. This includes initiating, terminating, and fully managing data transfer.</w:t>
            </w:r>
          </w:p>
          <w:p>
            <w:pPr>
              <w:pStyle w:val="86"/>
              <w:numPr>
                <w:ilvl w:val="2"/>
                <w:numId w:val="3"/>
              </w:numPr>
              <w:overflowPunct/>
              <w:autoSpaceDE/>
              <w:autoSpaceDN/>
              <w:adjustRightInd/>
              <w:spacing w:after="160" w:line="259" w:lineRule="auto"/>
              <w:textAlignment w:val="auto"/>
              <w:rPr>
                <w:rFonts w:eastAsia="宋体"/>
                <w:bCs/>
                <w:sz w:val="20"/>
                <w:szCs w:val="20"/>
              </w:rPr>
            </w:pPr>
            <w:r>
              <w:rPr>
                <w:rFonts w:eastAsia="宋体"/>
                <w:bCs/>
                <w:sz w:val="20"/>
                <w:szCs w:val="20"/>
              </w:rPr>
              <w:t xml:space="preserve">MNO has full visibility for standardized data.  </w:t>
            </w:r>
          </w:p>
          <w:p>
            <w:pPr>
              <w:pStyle w:val="86"/>
              <w:numPr>
                <w:ilvl w:val="2"/>
                <w:numId w:val="3"/>
              </w:numPr>
              <w:overflowPunct/>
              <w:autoSpaceDE/>
              <w:autoSpaceDN/>
              <w:adjustRightInd/>
              <w:spacing w:after="160" w:line="259" w:lineRule="auto"/>
              <w:textAlignment w:val="auto"/>
              <w:rPr>
                <w:rFonts w:eastAsia="宋体"/>
                <w:bCs/>
                <w:sz w:val="20"/>
                <w:szCs w:val="20"/>
              </w:rPr>
            </w:pPr>
            <w:r>
              <w:rPr>
                <w:rFonts w:eastAsia="宋体"/>
                <w:bCs/>
                <w:sz w:val="20"/>
                <w:szCs w:val="20"/>
              </w:rPr>
              <w:t>The design is futureproof and extendable.</w:t>
            </w:r>
          </w:p>
          <w:p>
            <w:pPr>
              <w:spacing w:after="180"/>
              <w:ind w:left="720"/>
              <w:rPr>
                <w:rFonts w:eastAsia="宋体"/>
                <w:bCs/>
              </w:rPr>
            </w:pPr>
            <w:r>
              <w:rPr>
                <w:rFonts w:eastAsia="宋体"/>
                <w:bCs/>
              </w:rPr>
              <w:t xml:space="preserve">FFS/study if and how to handle non-standardized data (i.e. partial visibility).  </w:t>
            </w:r>
          </w:p>
          <w:p>
            <w:pPr>
              <w:spacing w:after="180"/>
              <w:ind w:left="720"/>
              <w:rPr>
                <w:rFonts w:eastAsia="宋体"/>
                <w:bCs/>
              </w:rPr>
            </w:pPr>
            <w:r>
              <w:rPr>
                <w:rFonts w:eastAsia="宋体"/>
              </w:rPr>
              <w:t>FFS controllability on data collection</w:t>
            </w:r>
          </w:p>
          <w:p>
            <w:pPr>
              <w:adjustRightInd w:val="0"/>
              <w:snapToGrid w:val="0"/>
              <w:spacing w:before="120" w:beforeLines="50" w:after="120" w:afterLines="50"/>
              <w:rPr>
                <w:rFonts w:eastAsia="宋体"/>
              </w:rPr>
            </w:pPr>
            <w:r>
              <w:rPr>
                <w:rFonts w:eastAsia="宋体"/>
                <w:bCs/>
              </w:rPr>
              <w:t>S</w:t>
            </w:r>
            <w:r>
              <w:rPr>
                <w:rFonts w:eastAsia="宋体"/>
              </w:rPr>
              <w:t xml:space="preserve">tandardized </w:t>
            </w:r>
            <w:r>
              <w:rPr>
                <w:rFonts w:eastAsia="宋体"/>
                <w:bCs/>
              </w:rPr>
              <w:t>Solutions should follow the principle of aiming to minimize air interface overhead and impact to NW operation</w:t>
            </w:r>
            <w:bookmarkEnd w:id="1"/>
          </w:p>
        </w:tc>
      </w:tr>
    </w:tbl>
    <w:p/>
    <w:p>
      <w:pPr>
        <w:pStyle w:val="86"/>
        <w:ind w:left="0" w:leftChars="0" w:firstLine="0" w:firstLineChars="0"/>
        <w:rPr>
          <w:rFonts w:hint="eastAsia" w:eastAsiaTheme="minorEastAsia"/>
          <w:sz w:val="20"/>
          <w:szCs w:val="20"/>
          <w:lang w:val="en-US" w:eastAsia="zh-CN"/>
        </w:rPr>
      </w:pPr>
      <w:r>
        <w:rPr>
          <w:rFonts w:hint="eastAsia" w:eastAsiaTheme="minorEastAsia"/>
          <w:sz w:val="20"/>
          <w:szCs w:val="20"/>
          <w:lang w:val="en-US" w:eastAsia="zh-CN"/>
        </w:rPr>
        <w:t>Some initial observations are listed below:</w:t>
      </w:r>
    </w:p>
    <w:p>
      <w:pPr>
        <w:pStyle w:val="86"/>
        <w:ind w:left="0" w:leftChars="0" w:firstLine="0" w:firstLineChars="0"/>
        <w:rPr>
          <w:rFonts w:hint="default" w:eastAsiaTheme="minorEastAsia"/>
          <w:sz w:val="20"/>
          <w:szCs w:val="20"/>
          <w:lang w:val="en-US" w:eastAsia="zh-CN"/>
        </w:rPr>
      </w:pPr>
    </w:p>
    <w:p>
      <w:pPr>
        <w:pStyle w:val="86"/>
        <w:ind w:left="600" w:leftChars="300" w:firstLine="0" w:firstLineChars="0"/>
        <w:rPr>
          <w:rFonts w:hint="default" w:eastAsiaTheme="minorEastAsia"/>
          <w:sz w:val="20"/>
          <w:szCs w:val="20"/>
          <w:lang w:val="en-US" w:eastAsia="zh-CN"/>
        </w:rPr>
      </w:pPr>
      <w:r>
        <w:rPr>
          <w:rFonts w:eastAsiaTheme="minorEastAsia"/>
          <w:b/>
          <w:bCs/>
          <w:sz w:val="20"/>
          <w:szCs w:val="20"/>
          <w:lang w:val="en-GB" w:eastAsia="en-US"/>
        </w:rPr>
        <w:t>Observation 1:</w:t>
      </w:r>
      <w:r>
        <w:rPr>
          <w:rFonts w:eastAsiaTheme="minorEastAsia"/>
          <w:sz w:val="20"/>
          <w:szCs w:val="20"/>
          <w:lang w:val="en-GB" w:eastAsia="en-US"/>
        </w:rPr>
        <w:t xml:space="preserve"> </w:t>
      </w:r>
      <w:r>
        <w:rPr>
          <w:rFonts w:hint="eastAsia" w:eastAsiaTheme="minorEastAsia"/>
          <w:sz w:val="20"/>
          <w:szCs w:val="20"/>
          <w:lang w:val="en-US" w:eastAsia="zh-CN"/>
        </w:rPr>
        <w:t xml:space="preserve">Option 3 is out of SA2 scope, So no needs to discuss the feasibility of Option 3.The </w:t>
      </w:r>
      <w:r>
        <w:rPr>
          <w:rFonts w:hint="eastAsia" w:eastAsiaTheme="minorEastAsia"/>
          <w:sz w:val="20"/>
          <w:szCs w:val="20"/>
          <w:lang w:val="en-US" w:eastAsia="zh-CN"/>
        </w:rPr>
        <w:tab/>
      </w:r>
      <w:r>
        <w:rPr>
          <w:rFonts w:hint="eastAsia" w:eastAsiaTheme="minorEastAsia"/>
          <w:sz w:val="20"/>
          <w:szCs w:val="20"/>
          <w:lang w:val="en-US" w:eastAsia="zh-CN"/>
        </w:rPr>
        <w:tab/>
      </w:r>
      <w:r>
        <w:rPr>
          <w:rFonts w:hint="eastAsia" w:eastAsiaTheme="minorEastAsia"/>
          <w:sz w:val="20"/>
          <w:szCs w:val="20"/>
          <w:lang w:val="en-US" w:eastAsia="zh-CN"/>
        </w:rPr>
        <w:t xml:space="preserve"> controllability  of options is up to SA3.</w:t>
      </w:r>
    </w:p>
    <w:p>
      <w:pPr>
        <w:pStyle w:val="86"/>
        <w:ind w:left="0" w:leftChars="0" w:firstLine="0" w:firstLineChars="0"/>
        <w:rPr>
          <w:rFonts w:hint="eastAsia" w:eastAsiaTheme="minorEastAsia"/>
          <w:sz w:val="20"/>
          <w:szCs w:val="20"/>
          <w:lang w:val="en-US" w:eastAsia="zh-CN"/>
        </w:rPr>
      </w:pPr>
    </w:p>
    <w:p>
      <w:pPr>
        <w:ind w:left="568"/>
      </w:pPr>
      <w:r>
        <w:rPr>
          <w:b/>
          <w:bCs/>
        </w:rPr>
        <w:t>Observation 2:</w:t>
      </w:r>
      <w:r>
        <w:t xml:space="preserve"> </w:t>
      </w:r>
      <w:r>
        <w:rPr>
          <w:rFonts w:hint="eastAsia"/>
          <w:lang w:val="en-US" w:eastAsia="zh-CN"/>
        </w:rPr>
        <w:t xml:space="preserve"> Option 1a is the simplest and fastest way for UE data collection. The OTT server can collect data from UE directly via UP at any time.</w:t>
      </w:r>
    </w:p>
    <w:p>
      <w:pPr>
        <w:ind w:left="568"/>
        <w:rPr>
          <w:rFonts w:hint="default"/>
          <w:lang w:val="en-US" w:eastAsia="zh-CN"/>
        </w:rPr>
      </w:pPr>
      <w:r>
        <w:rPr>
          <w:b/>
          <w:bCs/>
        </w:rPr>
        <w:t>Observation 3:</w:t>
      </w:r>
      <w:r>
        <w:rPr>
          <w:rFonts w:hint="eastAsia"/>
          <w:b/>
          <w:bCs/>
          <w:lang w:val="en-US" w:eastAsia="zh-CN"/>
        </w:rPr>
        <w:t xml:space="preserve"> </w:t>
      </w:r>
      <w:r>
        <w:rPr>
          <w:rFonts w:hint="eastAsia"/>
          <w:lang w:val="en-US" w:eastAsia="zh-CN"/>
        </w:rPr>
        <w:t>Option 2 uses NAS layer for UE training data collection, which may cause signalling congestion in control plan Network Functions(e.g. AMF) if the collection is frequent with large size of training data. However, this problem can be avoided by collecting UE training data in spare time(e.g. during night).</w:t>
      </w:r>
    </w:p>
    <w:p>
      <w:pPr>
        <w:spacing w:after="180"/>
        <w:ind w:left="600" w:leftChars="300" w:firstLine="0" w:firstLineChars="0"/>
        <w:rPr>
          <w:rFonts w:hint="default" w:eastAsia="宋体"/>
          <w:bCs/>
          <w:lang w:val="en-US" w:eastAsia="zh-CN"/>
        </w:rPr>
      </w:pPr>
      <w:r>
        <w:rPr>
          <w:b/>
          <w:bCs/>
        </w:rPr>
        <w:t xml:space="preserve">Observation </w:t>
      </w:r>
      <w:r>
        <w:rPr>
          <w:rFonts w:hint="eastAsia"/>
          <w:b/>
          <w:bCs/>
          <w:lang w:val="en-US" w:eastAsia="zh-CN"/>
        </w:rPr>
        <w:t>4:</w:t>
      </w:r>
      <w:r>
        <w:rPr>
          <w:rFonts w:hint="eastAsia"/>
          <w:b w:val="0"/>
          <w:bCs w:val="0"/>
          <w:lang w:val="en-US" w:eastAsia="zh-CN"/>
        </w:rPr>
        <w:t xml:space="preserve"> For the</w:t>
      </w:r>
      <w:r>
        <w:rPr>
          <w:rFonts w:hint="eastAsia"/>
          <w:b/>
          <w:bCs/>
          <w:lang w:val="en-US" w:eastAsia="zh-CN"/>
        </w:rPr>
        <w:t xml:space="preserve"> </w:t>
      </w:r>
      <w:r>
        <w:rPr>
          <w:rFonts w:eastAsia="宋体"/>
          <w:bCs/>
        </w:rPr>
        <w:t>FFS/study if and how to handle non-standardized data (i.e. partial visibility)</w:t>
      </w:r>
      <w:r>
        <w:rPr>
          <w:rFonts w:hint="eastAsia" w:eastAsia="宋体"/>
          <w:bCs/>
          <w:lang w:val="en-US" w:eastAsia="zh-CN"/>
        </w:rPr>
        <w:t>, if we put the training data in the container for transfer then it is difficult for operator to decode and monitor whether the training data collected is</w:t>
      </w:r>
      <w:bookmarkStart w:id="2" w:name="_GoBack"/>
      <w:bookmarkEnd w:id="2"/>
      <w:r>
        <w:rPr>
          <w:rFonts w:hint="eastAsia" w:eastAsia="宋体"/>
          <w:bCs/>
          <w:lang w:val="en-US" w:eastAsia="zh-CN"/>
        </w:rPr>
        <w:t xml:space="preserve"> legal. So the training data should be fully controllable by MNO.</w:t>
      </w:r>
    </w:p>
    <w:p>
      <w:pPr>
        <w:spacing w:after="180"/>
        <w:ind w:left="600" w:leftChars="300" w:firstLine="0" w:firstLineChars="0"/>
        <w:rPr>
          <w:rFonts w:hint="default" w:ascii="Times New Roman" w:hAnsi="Times New Roman" w:cs="Times New Roman"/>
          <w:sz w:val="20"/>
          <w:szCs w:val="20"/>
          <w:lang w:val="en-US" w:eastAsia="zh-CN"/>
        </w:rPr>
      </w:pPr>
      <w:r>
        <w:rPr>
          <w:rFonts w:hint="eastAsia" w:eastAsia="宋体"/>
          <w:b/>
          <w:bCs w:val="0"/>
          <w:lang w:val="en-US" w:eastAsia="zh-CN"/>
        </w:rPr>
        <w:t>Observation 5:</w:t>
      </w:r>
      <w:r>
        <w:rPr>
          <w:rFonts w:hint="default" w:ascii="Times New Roman" w:hAnsi="Times New Roman" w:eastAsia="宋体" w:cs="Times New Roman"/>
          <w:b w:val="0"/>
          <w:bCs/>
          <w:sz w:val="20"/>
          <w:szCs w:val="20"/>
          <w:lang w:val="en-US" w:eastAsia="zh-CN"/>
        </w:rPr>
        <w:t xml:space="preserve"> It is not clear about the differences between option 1b and option</w:t>
      </w:r>
      <w:r>
        <w:rPr>
          <w:rFonts w:hint="eastAsia" w:eastAsia="宋体" w:cs="Times New Roman"/>
          <w:b w:val="0"/>
          <w:bCs/>
          <w:sz w:val="20"/>
          <w:szCs w:val="20"/>
          <w:lang w:val="en-US" w:eastAsia="zh-CN"/>
        </w:rPr>
        <w:t>s</w:t>
      </w:r>
      <w:r>
        <w:rPr>
          <w:rFonts w:hint="default" w:ascii="Times New Roman" w:hAnsi="Times New Roman" w:eastAsia="宋体" w:cs="Times New Roman"/>
          <w:b w:val="0"/>
          <w:bCs/>
          <w:sz w:val="20"/>
          <w:szCs w:val="20"/>
          <w:lang w:val="en-US" w:eastAsia="zh-CN"/>
        </w:rPr>
        <w:t xml:space="preserve"> </w:t>
      </w:r>
      <w:r>
        <w:rPr>
          <w:rFonts w:hint="eastAsia" w:eastAsia="宋体" w:cs="Times New Roman"/>
          <w:b w:val="0"/>
          <w:bCs/>
          <w:sz w:val="20"/>
          <w:szCs w:val="20"/>
          <w:lang w:val="en-US" w:eastAsia="zh-CN"/>
        </w:rPr>
        <w:t>1a/2</w:t>
      </w:r>
      <w:r>
        <w:rPr>
          <w:rFonts w:hint="default" w:ascii="Times New Roman" w:hAnsi="Times New Roman" w:eastAsia="宋体" w:cs="Times New Roman"/>
          <w:b w:val="0"/>
          <w:bCs/>
          <w:sz w:val="20"/>
          <w:szCs w:val="20"/>
          <w:lang w:val="en-US" w:eastAsia="zh-CN"/>
        </w:rPr>
        <w:t xml:space="preserve">. If the </w:t>
      </w:r>
      <w:r>
        <w:rPr>
          <w:rFonts w:hint="default" w:ascii="Times New Roman" w:hAnsi="Times New Roman" w:eastAsia="宋体" w:cs="Times New Roman"/>
          <w:sz w:val="20"/>
          <w:szCs w:val="20"/>
          <w:lang w:eastAsia="ja-JP"/>
        </w:rPr>
        <w:t>Server for data collection</w:t>
      </w:r>
      <w:r>
        <w:rPr>
          <w:rFonts w:hint="default" w:ascii="Times New Roman" w:hAnsi="Times New Roman" w:eastAsia="宋体" w:cs="Times New Roman"/>
          <w:sz w:val="20"/>
          <w:szCs w:val="20"/>
          <w:lang w:val="en-US" w:eastAsia="zh-CN"/>
        </w:rPr>
        <w:t xml:space="preserve"> refers to the AF inside CN, then it is same with option 2. If the</w:t>
      </w:r>
      <w:r>
        <w:rPr>
          <w:rFonts w:hint="default" w:ascii="Times New Roman" w:hAnsi="Times New Roman" w:eastAsia="宋体" w:cs="Times New Roman"/>
          <w:sz w:val="20"/>
          <w:szCs w:val="20"/>
          <w:lang w:eastAsia="ja-JP"/>
        </w:rPr>
        <w:t xml:space="preserve"> Server for data collection</w:t>
      </w:r>
      <w:r>
        <w:rPr>
          <w:rFonts w:hint="default" w:ascii="Times New Roman" w:hAnsi="Times New Roman" w:eastAsia="宋体" w:cs="Times New Roman"/>
          <w:sz w:val="20"/>
          <w:szCs w:val="20"/>
          <w:lang w:val="en-US" w:eastAsia="zh-CN"/>
        </w:rPr>
        <w:t xml:space="preserve"> refers to OTT server, then it is same with option 1a. Some clarifications </w:t>
      </w:r>
      <w:r>
        <w:rPr>
          <w:rFonts w:hint="eastAsia" w:eastAsia="宋体" w:cs="Times New Roman"/>
          <w:sz w:val="20"/>
          <w:szCs w:val="20"/>
          <w:lang w:val="en-US" w:eastAsia="zh-CN"/>
        </w:rPr>
        <w:t xml:space="preserve">from RAN2 </w:t>
      </w:r>
      <w:r>
        <w:rPr>
          <w:rFonts w:hint="default" w:ascii="Times New Roman" w:hAnsi="Times New Roman" w:eastAsia="宋体" w:cs="Times New Roman"/>
          <w:sz w:val="20"/>
          <w:szCs w:val="20"/>
          <w:lang w:val="en-US" w:eastAsia="zh-CN"/>
        </w:rPr>
        <w:t>are needed.</w:t>
      </w:r>
      <w:r>
        <w:rPr>
          <w:rFonts w:hint="default" w:ascii="Times New Roman" w:hAnsi="Times New Roman" w:cs="Times New Roman"/>
          <w:sz w:val="20"/>
          <w:szCs w:val="20"/>
          <w:lang w:val="en-US" w:eastAsia="zh-CN"/>
        </w:rPr>
        <w:t xml:space="preserve"> </w:t>
      </w:r>
    </w:p>
    <w:p>
      <w:pPr>
        <w:spacing w:after="180"/>
        <w:ind w:left="600" w:leftChars="300" w:firstLine="0" w:firstLineChars="0"/>
        <w:rPr>
          <w:rFonts w:hint="eastAsia"/>
          <w:lang w:val="en-US" w:eastAsia="zh-CN"/>
        </w:rPr>
      </w:pPr>
      <w:r>
        <w:rPr>
          <w:rFonts w:hint="eastAsia" w:eastAsia="宋体"/>
          <w:b/>
          <w:bCs w:val="0"/>
          <w:lang w:val="en-US" w:eastAsia="zh-CN"/>
        </w:rPr>
        <w:t>Observation 6:</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The UP description of option</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1b/2 is not clear. Dose it refer to use GTP-U header for training data collection or using DCAF(EVEX) framework?</w:t>
      </w:r>
      <w:r>
        <w:rPr>
          <w:rFonts w:hint="eastAsia"/>
          <w:lang w:val="en-US" w:eastAsia="zh-CN"/>
        </w:rPr>
        <w:t xml:space="preserve">  </w:t>
      </w:r>
      <w:r>
        <w:rPr>
          <w:rFonts w:hint="default" w:ascii="Times New Roman" w:hAnsi="Times New Roman" w:eastAsia="宋体" w:cs="Times New Roman"/>
          <w:sz w:val="20"/>
          <w:szCs w:val="20"/>
          <w:lang w:val="en-US" w:eastAsia="zh-CN"/>
        </w:rPr>
        <w:t xml:space="preserve">Some clarifications </w:t>
      </w:r>
      <w:r>
        <w:rPr>
          <w:rFonts w:hint="eastAsia" w:eastAsia="宋体" w:cs="Times New Roman"/>
          <w:sz w:val="20"/>
          <w:szCs w:val="20"/>
          <w:lang w:val="en-US" w:eastAsia="zh-CN"/>
        </w:rPr>
        <w:t xml:space="preserve">from RAN2 </w:t>
      </w:r>
      <w:r>
        <w:rPr>
          <w:rFonts w:hint="default" w:ascii="Times New Roman" w:hAnsi="Times New Roman" w:eastAsia="宋体" w:cs="Times New Roman"/>
          <w:sz w:val="20"/>
          <w:szCs w:val="20"/>
          <w:lang w:val="en-US" w:eastAsia="zh-CN"/>
        </w:rPr>
        <w:t>are needed.</w:t>
      </w:r>
      <w:r>
        <w:rPr>
          <w:rFonts w:hint="default" w:ascii="Times New Roman" w:hAnsi="Times New Roman" w:cs="Times New Roman"/>
          <w:sz w:val="20"/>
          <w:szCs w:val="20"/>
          <w:lang w:val="en-US" w:eastAsia="zh-CN"/>
        </w:rPr>
        <w:t xml:space="preserve"> </w:t>
      </w:r>
      <w:r>
        <w:rPr>
          <w:rFonts w:hint="eastAsia"/>
          <w:lang w:val="en-US" w:eastAsia="zh-CN"/>
        </w:rPr>
        <w:t xml:space="preserve">   </w:t>
      </w:r>
    </w:p>
    <w:p>
      <w:pPr>
        <w:spacing w:after="180"/>
        <w:ind w:left="600" w:hanging="600" w:hangingChars="300"/>
        <w:rPr>
          <w:rFonts w:hint="default" w:eastAsiaTheme="minorEastAsia"/>
          <w:lang w:val="en-US" w:eastAsia="zh-CN"/>
        </w:rPr>
      </w:pPr>
      <w:r>
        <w:rPr>
          <w:rFonts w:hint="eastAsia"/>
          <w:lang w:val="en-US" w:eastAsia="zh-CN"/>
        </w:rPr>
        <w:t xml:space="preserve"> </w:t>
      </w:r>
      <w:r>
        <w:rPr>
          <w:rFonts w:hint="eastAsia"/>
          <w:lang w:val="en-US" w:eastAsia="zh-CN"/>
        </w:rPr>
        <w:tab/>
      </w:r>
      <w:r>
        <w:rPr>
          <w:rFonts w:hint="eastAsia" w:eastAsia="宋体"/>
          <w:b/>
          <w:bCs w:val="0"/>
          <w:lang w:val="en-US" w:eastAsia="zh-CN"/>
        </w:rPr>
        <w:t>Observation 7:</w:t>
      </w:r>
      <w:r>
        <w:rPr>
          <w:rFonts w:hint="eastAsia" w:eastAsia="宋体"/>
          <w:b w:val="0"/>
          <w:bCs/>
          <w:lang w:val="en-US" w:eastAsia="zh-CN"/>
        </w:rPr>
        <w:t xml:space="preserve"> If we use PDU session for training data transfer, it is not clear about how to build or select appropriate PDU session with associated URSP rule, IP address, S-NSSAI.</w:t>
      </w:r>
    </w:p>
    <w:p>
      <w:pPr>
        <w:rPr>
          <w:rFonts w:hint="default" w:ascii="Arial" w:hAnsi="Arial" w:eastAsiaTheme="minorEastAsia"/>
          <w:sz w:val="36"/>
          <w:lang w:val="en-US" w:eastAsia="zh-CN"/>
        </w:rPr>
      </w:pPr>
      <w:r>
        <w:rPr>
          <w:rFonts w:ascii="Arial" w:hAnsi="Arial"/>
          <w:sz w:val="36"/>
        </w:rPr>
        <w:t>Proposals</w:t>
      </w:r>
      <w:r>
        <w:rPr>
          <w:rFonts w:hint="eastAsia" w:ascii="Arial" w:hAnsi="Arial"/>
          <w:sz w:val="36"/>
          <w:lang w:val="en-US" w:eastAsia="zh-CN"/>
        </w:rPr>
        <w:t xml:space="preserve"> of way forward</w:t>
      </w:r>
    </w:p>
    <w:p>
      <w:pPr>
        <w:rPr>
          <w:rFonts w:hint="default" w:eastAsiaTheme="minorEastAsia"/>
          <w:lang w:val="en-US" w:eastAsia="zh-CN"/>
        </w:rPr>
      </w:pPr>
      <w:r>
        <w:rPr>
          <w:b/>
          <w:bCs/>
        </w:rPr>
        <w:t>Proposal 1</w:t>
      </w:r>
      <w:r>
        <w:rPr>
          <w:rFonts w:hint="eastAsia"/>
          <w:b/>
          <w:bCs/>
          <w:lang w:val="en-US" w:eastAsia="zh-CN"/>
        </w:rPr>
        <w:t>(The most preferred way)</w:t>
      </w:r>
      <w:r>
        <w:rPr>
          <w:b/>
          <w:bCs/>
        </w:rPr>
        <w:t xml:space="preserve">: </w:t>
      </w:r>
      <w:r>
        <w:rPr>
          <w:rFonts w:hint="eastAsia"/>
          <w:b w:val="0"/>
          <w:bCs w:val="0"/>
          <w:lang w:val="en-US" w:eastAsia="zh-CN"/>
        </w:rPr>
        <w:t>Using option 1a for UE training data collection.</w:t>
      </w:r>
    </w:p>
    <w:p>
      <w:pPr>
        <w:rPr>
          <w:rFonts w:hint="default" w:eastAsiaTheme="minorEastAsia"/>
          <w:b/>
          <w:bCs/>
          <w:lang w:val="en-US" w:eastAsia="zh-CN"/>
        </w:rPr>
      </w:pPr>
      <w:r>
        <w:rPr>
          <w:b/>
          <w:bCs/>
        </w:rPr>
        <w:t>Proposal 2</w:t>
      </w:r>
      <w:r>
        <w:rPr>
          <w:rFonts w:hint="eastAsia"/>
          <w:b/>
          <w:bCs/>
          <w:lang w:val="en-US" w:eastAsia="zh-CN"/>
        </w:rPr>
        <w:t>(A compromised way)</w:t>
      </w:r>
      <w:r>
        <w:rPr>
          <w:b/>
          <w:bCs/>
        </w:rPr>
        <w:t>:</w:t>
      </w:r>
      <w:r>
        <w:t xml:space="preserve">  </w:t>
      </w:r>
      <w:r>
        <w:rPr>
          <w:rFonts w:hint="eastAsia"/>
          <w:lang w:val="en-US" w:eastAsia="zh-CN"/>
        </w:rPr>
        <w:t xml:space="preserve">Using option 2 for non-frequent and small size UE training data collection in spare time </w:t>
      </w:r>
      <w:r>
        <w:rPr>
          <w:rFonts w:hint="eastAsia"/>
          <w:b/>
          <w:bCs/>
          <w:lang w:val="en-US" w:eastAsia="zh-CN"/>
        </w:rPr>
        <w:t xml:space="preserve">AND </w:t>
      </w:r>
      <w:r>
        <w:rPr>
          <w:rFonts w:hint="eastAsia"/>
          <w:b w:val="0"/>
          <w:bCs w:val="0"/>
          <w:lang w:val="en-US" w:eastAsia="zh-CN"/>
        </w:rPr>
        <w:t>the training data is to be standardized and to be transferred without any container.</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0A2BD0"/>
    <w:multiLevelType w:val="multilevel"/>
    <w:tmpl w:val="3B0A2BD0"/>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rPr>
        <w:rFonts w:hint="default" w:ascii="Times New Roman" w:hAnsi="Times New Roman" w:eastAsia="Times New Roman" w:cs="Times New Roman"/>
      </w:rPr>
    </w:lvl>
    <w:lvl w:ilvl="3" w:tentative="0">
      <w:start w:val="1"/>
      <w:numFmt w:val="bullet"/>
      <w:lvlText w:val=""/>
      <w:lvlJc w:val="left"/>
      <w:pPr>
        <w:ind w:left="2880" w:hanging="360"/>
      </w:pPr>
      <w:rPr>
        <w:rFonts w:hint="default" w:ascii="Symbol" w:hAnsi="Symbol"/>
      </w:rPr>
    </w:lvl>
    <w:lvl w:ilvl="4" w:tentative="0">
      <w:start w:val="4"/>
      <w:numFmt w:val="decimal"/>
      <w:lvlText w:val="%5"/>
      <w:lvlJc w:val="left"/>
      <w:pPr>
        <w:ind w:left="3600" w:hanging="360"/>
      </w:pPr>
      <w:rPr>
        <w:rFonts w:hint="default"/>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8261A92"/>
    <w:multiLevelType w:val="multilevel"/>
    <w:tmpl w:val="78261A9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FCB"/>
    <w:rsid w:val="00006837"/>
    <w:rsid w:val="00011BEC"/>
    <w:rsid w:val="000300CD"/>
    <w:rsid w:val="00031BBE"/>
    <w:rsid w:val="00032761"/>
    <w:rsid w:val="00033397"/>
    <w:rsid w:val="00033DCD"/>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87F43"/>
    <w:rsid w:val="000A0614"/>
    <w:rsid w:val="000A28A6"/>
    <w:rsid w:val="000A538A"/>
    <w:rsid w:val="000A6419"/>
    <w:rsid w:val="000A67F4"/>
    <w:rsid w:val="000A741A"/>
    <w:rsid w:val="000B781C"/>
    <w:rsid w:val="000C47C3"/>
    <w:rsid w:val="000C6B78"/>
    <w:rsid w:val="000D0501"/>
    <w:rsid w:val="000D58AB"/>
    <w:rsid w:val="000E0B36"/>
    <w:rsid w:val="000E407D"/>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0871"/>
    <w:rsid w:val="00152A28"/>
    <w:rsid w:val="00152DBE"/>
    <w:rsid w:val="00153646"/>
    <w:rsid w:val="00160300"/>
    <w:rsid w:val="00167744"/>
    <w:rsid w:val="00183693"/>
    <w:rsid w:val="001838F1"/>
    <w:rsid w:val="0019083F"/>
    <w:rsid w:val="00191B95"/>
    <w:rsid w:val="001A239D"/>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0D1E"/>
    <w:rsid w:val="001F1132"/>
    <w:rsid w:val="001F168B"/>
    <w:rsid w:val="001F1C20"/>
    <w:rsid w:val="001F530A"/>
    <w:rsid w:val="001F6949"/>
    <w:rsid w:val="002041A8"/>
    <w:rsid w:val="002069C6"/>
    <w:rsid w:val="002131FE"/>
    <w:rsid w:val="00225D5D"/>
    <w:rsid w:val="00230850"/>
    <w:rsid w:val="00231F2B"/>
    <w:rsid w:val="002347A2"/>
    <w:rsid w:val="00243AE7"/>
    <w:rsid w:val="00260A06"/>
    <w:rsid w:val="00261539"/>
    <w:rsid w:val="00263180"/>
    <w:rsid w:val="00264103"/>
    <w:rsid w:val="002675F0"/>
    <w:rsid w:val="0027321B"/>
    <w:rsid w:val="002760EE"/>
    <w:rsid w:val="002804DD"/>
    <w:rsid w:val="00287CF7"/>
    <w:rsid w:val="002A1095"/>
    <w:rsid w:val="002A2AAF"/>
    <w:rsid w:val="002B01BE"/>
    <w:rsid w:val="002B20F7"/>
    <w:rsid w:val="002B27E2"/>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B39"/>
    <w:rsid w:val="003765B8"/>
    <w:rsid w:val="003829FA"/>
    <w:rsid w:val="003862CA"/>
    <w:rsid w:val="003B70A7"/>
    <w:rsid w:val="003B7934"/>
    <w:rsid w:val="003C0C39"/>
    <w:rsid w:val="003C3971"/>
    <w:rsid w:val="003C739D"/>
    <w:rsid w:val="003C7676"/>
    <w:rsid w:val="003D408A"/>
    <w:rsid w:val="003D7A9A"/>
    <w:rsid w:val="003E24B1"/>
    <w:rsid w:val="003E5C97"/>
    <w:rsid w:val="003F0448"/>
    <w:rsid w:val="003F3E2D"/>
    <w:rsid w:val="003F561D"/>
    <w:rsid w:val="003F62E8"/>
    <w:rsid w:val="003F68DE"/>
    <w:rsid w:val="003F7FAA"/>
    <w:rsid w:val="00400229"/>
    <w:rsid w:val="00405D48"/>
    <w:rsid w:val="00405F67"/>
    <w:rsid w:val="00411DC6"/>
    <w:rsid w:val="00412AC2"/>
    <w:rsid w:val="00421D41"/>
    <w:rsid w:val="00423334"/>
    <w:rsid w:val="00425503"/>
    <w:rsid w:val="00425EC4"/>
    <w:rsid w:val="0043294A"/>
    <w:rsid w:val="00432C6C"/>
    <w:rsid w:val="00432FCF"/>
    <w:rsid w:val="004344B4"/>
    <w:rsid w:val="004345EC"/>
    <w:rsid w:val="004404ED"/>
    <w:rsid w:val="00445111"/>
    <w:rsid w:val="004540BC"/>
    <w:rsid w:val="00454580"/>
    <w:rsid w:val="004550DD"/>
    <w:rsid w:val="00457554"/>
    <w:rsid w:val="004602FB"/>
    <w:rsid w:val="00465515"/>
    <w:rsid w:val="00465EE6"/>
    <w:rsid w:val="004713B1"/>
    <w:rsid w:val="00473F6E"/>
    <w:rsid w:val="00480770"/>
    <w:rsid w:val="00484E49"/>
    <w:rsid w:val="00492F0F"/>
    <w:rsid w:val="0049751D"/>
    <w:rsid w:val="004976F5"/>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6EFC"/>
    <w:rsid w:val="005474E4"/>
    <w:rsid w:val="00555C3B"/>
    <w:rsid w:val="00564B78"/>
    <w:rsid w:val="00565087"/>
    <w:rsid w:val="005657FB"/>
    <w:rsid w:val="00575556"/>
    <w:rsid w:val="00575D2B"/>
    <w:rsid w:val="00576F7D"/>
    <w:rsid w:val="00577F82"/>
    <w:rsid w:val="00580A37"/>
    <w:rsid w:val="00586449"/>
    <w:rsid w:val="00590667"/>
    <w:rsid w:val="00597B11"/>
    <w:rsid w:val="005A1361"/>
    <w:rsid w:val="005A3FC7"/>
    <w:rsid w:val="005B30B1"/>
    <w:rsid w:val="005B758F"/>
    <w:rsid w:val="005C2E2A"/>
    <w:rsid w:val="005C2ED6"/>
    <w:rsid w:val="005C76FC"/>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37A2"/>
    <w:rsid w:val="00624E9A"/>
    <w:rsid w:val="006271FA"/>
    <w:rsid w:val="00631226"/>
    <w:rsid w:val="006314F4"/>
    <w:rsid w:val="006353E1"/>
    <w:rsid w:val="0063543D"/>
    <w:rsid w:val="006419DA"/>
    <w:rsid w:val="00647114"/>
    <w:rsid w:val="00656E2F"/>
    <w:rsid w:val="00663F00"/>
    <w:rsid w:val="0066444B"/>
    <w:rsid w:val="006704E1"/>
    <w:rsid w:val="00677384"/>
    <w:rsid w:val="00681A9E"/>
    <w:rsid w:val="006912E9"/>
    <w:rsid w:val="00697AD3"/>
    <w:rsid w:val="006A066D"/>
    <w:rsid w:val="006A1AE7"/>
    <w:rsid w:val="006A323F"/>
    <w:rsid w:val="006A56C2"/>
    <w:rsid w:val="006A58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6879"/>
    <w:rsid w:val="00727CB8"/>
    <w:rsid w:val="00727CD2"/>
    <w:rsid w:val="00734A5B"/>
    <w:rsid w:val="0073544B"/>
    <w:rsid w:val="00735476"/>
    <w:rsid w:val="007359BD"/>
    <w:rsid w:val="00737EA7"/>
    <w:rsid w:val="0074026F"/>
    <w:rsid w:val="007429F6"/>
    <w:rsid w:val="007440DF"/>
    <w:rsid w:val="00744E76"/>
    <w:rsid w:val="00746C96"/>
    <w:rsid w:val="007473BA"/>
    <w:rsid w:val="007533A0"/>
    <w:rsid w:val="00755651"/>
    <w:rsid w:val="00755F12"/>
    <w:rsid w:val="00761FBA"/>
    <w:rsid w:val="00765E07"/>
    <w:rsid w:val="00765EA3"/>
    <w:rsid w:val="00774DA4"/>
    <w:rsid w:val="00781D17"/>
    <w:rsid w:val="00781F0F"/>
    <w:rsid w:val="00784B8A"/>
    <w:rsid w:val="00784F52"/>
    <w:rsid w:val="007920D8"/>
    <w:rsid w:val="0079727E"/>
    <w:rsid w:val="007A57D0"/>
    <w:rsid w:val="007B10C3"/>
    <w:rsid w:val="007B343A"/>
    <w:rsid w:val="007B600E"/>
    <w:rsid w:val="007B7035"/>
    <w:rsid w:val="007C4111"/>
    <w:rsid w:val="007C7847"/>
    <w:rsid w:val="007D32FC"/>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54F69"/>
    <w:rsid w:val="00856518"/>
    <w:rsid w:val="00865238"/>
    <w:rsid w:val="00866C82"/>
    <w:rsid w:val="0087255D"/>
    <w:rsid w:val="008768CA"/>
    <w:rsid w:val="0088035A"/>
    <w:rsid w:val="008843FA"/>
    <w:rsid w:val="00886278"/>
    <w:rsid w:val="00886434"/>
    <w:rsid w:val="008921F5"/>
    <w:rsid w:val="00892F21"/>
    <w:rsid w:val="008A1C9C"/>
    <w:rsid w:val="008A7E19"/>
    <w:rsid w:val="008B6695"/>
    <w:rsid w:val="008B680B"/>
    <w:rsid w:val="008C02CE"/>
    <w:rsid w:val="008C3340"/>
    <w:rsid w:val="008C384C"/>
    <w:rsid w:val="008C66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EA5"/>
    <w:rsid w:val="009E7D5D"/>
    <w:rsid w:val="009F37B7"/>
    <w:rsid w:val="00A05ED9"/>
    <w:rsid w:val="00A10EA6"/>
    <w:rsid w:val="00A10F02"/>
    <w:rsid w:val="00A11E60"/>
    <w:rsid w:val="00A133BC"/>
    <w:rsid w:val="00A14016"/>
    <w:rsid w:val="00A16155"/>
    <w:rsid w:val="00A1621F"/>
    <w:rsid w:val="00A164B4"/>
    <w:rsid w:val="00A22217"/>
    <w:rsid w:val="00A24CEA"/>
    <w:rsid w:val="00A25B20"/>
    <w:rsid w:val="00A25E05"/>
    <w:rsid w:val="00A2609D"/>
    <w:rsid w:val="00A26956"/>
    <w:rsid w:val="00A27486"/>
    <w:rsid w:val="00A3055C"/>
    <w:rsid w:val="00A31CBE"/>
    <w:rsid w:val="00A35AE5"/>
    <w:rsid w:val="00A360E8"/>
    <w:rsid w:val="00A425A0"/>
    <w:rsid w:val="00A476FC"/>
    <w:rsid w:val="00A50D06"/>
    <w:rsid w:val="00A51EFA"/>
    <w:rsid w:val="00A53724"/>
    <w:rsid w:val="00A56066"/>
    <w:rsid w:val="00A56465"/>
    <w:rsid w:val="00A7112B"/>
    <w:rsid w:val="00A73129"/>
    <w:rsid w:val="00A77CB3"/>
    <w:rsid w:val="00A80902"/>
    <w:rsid w:val="00A82346"/>
    <w:rsid w:val="00A8420C"/>
    <w:rsid w:val="00A85553"/>
    <w:rsid w:val="00A92BA1"/>
    <w:rsid w:val="00A95A32"/>
    <w:rsid w:val="00A97D9F"/>
    <w:rsid w:val="00AA76A9"/>
    <w:rsid w:val="00AB1C35"/>
    <w:rsid w:val="00AB1CBB"/>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9379A"/>
    <w:rsid w:val="00BA19ED"/>
    <w:rsid w:val="00BA2659"/>
    <w:rsid w:val="00BA4B8D"/>
    <w:rsid w:val="00BA6234"/>
    <w:rsid w:val="00BB0502"/>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35864"/>
    <w:rsid w:val="00C427B4"/>
    <w:rsid w:val="00C4468C"/>
    <w:rsid w:val="00C45231"/>
    <w:rsid w:val="00C51921"/>
    <w:rsid w:val="00C5269C"/>
    <w:rsid w:val="00C551FF"/>
    <w:rsid w:val="00C55517"/>
    <w:rsid w:val="00C5692B"/>
    <w:rsid w:val="00C657BF"/>
    <w:rsid w:val="00C706F1"/>
    <w:rsid w:val="00C72833"/>
    <w:rsid w:val="00C72F00"/>
    <w:rsid w:val="00C758F2"/>
    <w:rsid w:val="00C762D2"/>
    <w:rsid w:val="00C8056A"/>
    <w:rsid w:val="00C80F1D"/>
    <w:rsid w:val="00C83A46"/>
    <w:rsid w:val="00C91962"/>
    <w:rsid w:val="00C92D34"/>
    <w:rsid w:val="00C935C7"/>
    <w:rsid w:val="00C93F40"/>
    <w:rsid w:val="00CA0161"/>
    <w:rsid w:val="00CA2FDD"/>
    <w:rsid w:val="00CA3D0C"/>
    <w:rsid w:val="00CA44DB"/>
    <w:rsid w:val="00CA4ACB"/>
    <w:rsid w:val="00CA58B4"/>
    <w:rsid w:val="00CA775B"/>
    <w:rsid w:val="00CB22B7"/>
    <w:rsid w:val="00CC1131"/>
    <w:rsid w:val="00CC2F96"/>
    <w:rsid w:val="00CC5890"/>
    <w:rsid w:val="00CC7251"/>
    <w:rsid w:val="00CD0A63"/>
    <w:rsid w:val="00CD24B1"/>
    <w:rsid w:val="00CE04D0"/>
    <w:rsid w:val="00CE1C05"/>
    <w:rsid w:val="00CE313E"/>
    <w:rsid w:val="00CE3C1A"/>
    <w:rsid w:val="00CE4C73"/>
    <w:rsid w:val="00CE7A26"/>
    <w:rsid w:val="00CF098F"/>
    <w:rsid w:val="00D05375"/>
    <w:rsid w:val="00D066B1"/>
    <w:rsid w:val="00D10007"/>
    <w:rsid w:val="00D12335"/>
    <w:rsid w:val="00D13BA0"/>
    <w:rsid w:val="00D34633"/>
    <w:rsid w:val="00D45A36"/>
    <w:rsid w:val="00D46998"/>
    <w:rsid w:val="00D52DB6"/>
    <w:rsid w:val="00D57972"/>
    <w:rsid w:val="00D57D90"/>
    <w:rsid w:val="00D601F2"/>
    <w:rsid w:val="00D610A3"/>
    <w:rsid w:val="00D61D86"/>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118E"/>
    <w:rsid w:val="00DC309B"/>
    <w:rsid w:val="00DC4DA2"/>
    <w:rsid w:val="00DC6A60"/>
    <w:rsid w:val="00DD21C9"/>
    <w:rsid w:val="00DD4C17"/>
    <w:rsid w:val="00DD74A5"/>
    <w:rsid w:val="00DD76A1"/>
    <w:rsid w:val="00DE1A4D"/>
    <w:rsid w:val="00DF2176"/>
    <w:rsid w:val="00DF265F"/>
    <w:rsid w:val="00DF2B1F"/>
    <w:rsid w:val="00DF53CC"/>
    <w:rsid w:val="00DF62CD"/>
    <w:rsid w:val="00E009D9"/>
    <w:rsid w:val="00E04D74"/>
    <w:rsid w:val="00E066AA"/>
    <w:rsid w:val="00E079E8"/>
    <w:rsid w:val="00E13616"/>
    <w:rsid w:val="00E14F96"/>
    <w:rsid w:val="00E163BE"/>
    <w:rsid w:val="00E16509"/>
    <w:rsid w:val="00E23323"/>
    <w:rsid w:val="00E25A79"/>
    <w:rsid w:val="00E269DF"/>
    <w:rsid w:val="00E42506"/>
    <w:rsid w:val="00E44582"/>
    <w:rsid w:val="00E448C1"/>
    <w:rsid w:val="00E4657D"/>
    <w:rsid w:val="00E46AB9"/>
    <w:rsid w:val="00E63060"/>
    <w:rsid w:val="00E7583C"/>
    <w:rsid w:val="00E76832"/>
    <w:rsid w:val="00E77645"/>
    <w:rsid w:val="00E80788"/>
    <w:rsid w:val="00E8717F"/>
    <w:rsid w:val="00E87F88"/>
    <w:rsid w:val="00E917D2"/>
    <w:rsid w:val="00E97BC5"/>
    <w:rsid w:val="00EA15B0"/>
    <w:rsid w:val="00EA3757"/>
    <w:rsid w:val="00EA391E"/>
    <w:rsid w:val="00EA396D"/>
    <w:rsid w:val="00EA4A57"/>
    <w:rsid w:val="00EA5EA7"/>
    <w:rsid w:val="00EB0EB4"/>
    <w:rsid w:val="00EB1E8E"/>
    <w:rsid w:val="00EB5D35"/>
    <w:rsid w:val="00EB5E3B"/>
    <w:rsid w:val="00EC070F"/>
    <w:rsid w:val="00EC4A25"/>
    <w:rsid w:val="00EC4E18"/>
    <w:rsid w:val="00EC4FEC"/>
    <w:rsid w:val="00EE4567"/>
    <w:rsid w:val="00EE7A04"/>
    <w:rsid w:val="00EE7C81"/>
    <w:rsid w:val="00EF049B"/>
    <w:rsid w:val="00EF207F"/>
    <w:rsid w:val="00EF59B9"/>
    <w:rsid w:val="00EF608C"/>
    <w:rsid w:val="00F00927"/>
    <w:rsid w:val="00F00A18"/>
    <w:rsid w:val="00F0163F"/>
    <w:rsid w:val="00F02595"/>
    <w:rsid w:val="00F025A2"/>
    <w:rsid w:val="00F04712"/>
    <w:rsid w:val="00F048A7"/>
    <w:rsid w:val="00F13360"/>
    <w:rsid w:val="00F1535D"/>
    <w:rsid w:val="00F202EA"/>
    <w:rsid w:val="00F20BE4"/>
    <w:rsid w:val="00F22EC7"/>
    <w:rsid w:val="00F265A6"/>
    <w:rsid w:val="00F26F03"/>
    <w:rsid w:val="00F2776E"/>
    <w:rsid w:val="00F320DC"/>
    <w:rsid w:val="00F325C8"/>
    <w:rsid w:val="00F349FD"/>
    <w:rsid w:val="00F34BBE"/>
    <w:rsid w:val="00F50000"/>
    <w:rsid w:val="00F50CB8"/>
    <w:rsid w:val="00F520B0"/>
    <w:rsid w:val="00F544A8"/>
    <w:rsid w:val="00F559CD"/>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C8B"/>
    <w:rsid w:val="00FC6F6D"/>
    <w:rsid w:val="00FD2B7D"/>
    <w:rsid w:val="00FE0920"/>
    <w:rsid w:val="00FE1D4B"/>
    <w:rsid w:val="00FE1DE2"/>
    <w:rsid w:val="00FE7065"/>
    <w:rsid w:val="00FF3149"/>
    <w:rsid w:val="00FF6ECE"/>
    <w:rsid w:val="00FF70C8"/>
    <w:rsid w:val="0429701B"/>
    <w:rsid w:val="04AC782D"/>
    <w:rsid w:val="074B3C7C"/>
    <w:rsid w:val="07D538C7"/>
    <w:rsid w:val="096769D2"/>
    <w:rsid w:val="09B24DA0"/>
    <w:rsid w:val="09C468AE"/>
    <w:rsid w:val="0B489821"/>
    <w:rsid w:val="0C58C4E2"/>
    <w:rsid w:val="101F5C83"/>
    <w:rsid w:val="108774BB"/>
    <w:rsid w:val="11829010"/>
    <w:rsid w:val="13708A49"/>
    <w:rsid w:val="137A0909"/>
    <w:rsid w:val="15E440F6"/>
    <w:rsid w:val="15F4380E"/>
    <w:rsid w:val="1642441F"/>
    <w:rsid w:val="16DB003E"/>
    <w:rsid w:val="1A194961"/>
    <w:rsid w:val="1C8B1D10"/>
    <w:rsid w:val="1D50964A"/>
    <w:rsid w:val="1EC66FBF"/>
    <w:rsid w:val="22A26A23"/>
    <w:rsid w:val="251A1215"/>
    <w:rsid w:val="2848D54B"/>
    <w:rsid w:val="29B617F5"/>
    <w:rsid w:val="2B808A3C"/>
    <w:rsid w:val="2BF00262"/>
    <w:rsid w:val="2D6D0957"/>
    <w:rsid w:val="2E272D51"/>
    <w:rsid w:val="3097ED5E"/>
    <w:rsid w:val="31112A32"/>
    <w:rsid w:val="345D4DC3"/>
    <w:rsid w:val="38F15B5C"/>
    <w:rsid w:val="3B2ECDC0"/>
    <w:rsid w:val="3B3D26B1"/>
    <w:rsid w:val="3FBFAAFF"/>
    <w:rsid w:val="40D8E193"/>
    <w:rsid w:val="42F74BC1"/>
    <w:rsid w:val="43B02D15"/>
    <w:rsid w:val="452163D0"/>
    <w:rsid w:val="45D94BA8"/>
    <w:rsid w:val="477BB506"/>
    <w:rsid w:val="48FA7A09"/>
    <w:rsid w:val="49738965"/>
    <w:rsid w:val="49F9B702"/>
    <w:rsid w:val="4B98F608"/>
    <w:rsid w:val="4C2D4963"/>
    <w:rsid w:val="4CE272DB"/>
    <w:rsid w:val="4D9E2E84"/>
    <w:rsid w:val="4DD37B02"/>
    <w:rsid w:val="50AC7F85"/>
    <w:rsid w:val="515B4148"/>
    <w:rsid w:val="53230F3A"/>
    <w:rsid w:val="541E0D92"/>
    <w:rsid w:val="5BE32286"/>
    <w:rsid w:val="5C786DC1"/>
    <w:rsid w:val="5D4F6914"/>
    <w:rsid w:val="5D9DA071"/>
    <w:rsid w:val="5FF3E019"/>
    <w:rsid w:val="617D948F"/>
    <w:rsid w:val="61920923"/>
    <w:rsid w:val="63F89721"/>
    <w:rsid w:val="644A378A"/>
    <w:rsid w:val="66F720D8"/>
    <w:rsid w:val="685DF3C4"/>
    <w:rsid w:val="69260DF8"/>
    <w:rsid w:val="6A7E70D9"/>
    <w:rsid w:val="6AD03152"/>
    <w:rsid w:val="6B7E2C23"/>
    <w:rsid w:val="6D72E7D8"/>
    <w:rsid w:val="6ECD9E62"/>
    <w:rsid w:val="6FAF0A6A"/>
    <w:rsid w:val="705C529E"/>
    <w:rsid w:val="71C549B5"/>
    <w:rsid w:val="72023332"/>
    <w:rsid w:val="72746568"/>
    <w:rsid w:val="73ABD26F"/>
    <w:rsid w:val="745D7B5F"/>
    <w:rsid w:val="75EFD414"/>
    <w:rsid w:val="77DF2017"/>
    <w:rsid w:val="7860F971"/>
    <w:rsid w:val="78D05539"/>
    <w:rsid w:val="7A5E3E35"/>
    <w:rsid w:val="7C7F590C"/>
    <w:rsid w:val="7CDCE0F8"/>
    <w:rsid w:val="7D914EEF"/>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3"/>
    <w:qFormat/>
    <w:uiPriority w:val="0"/>
    <w:pPr>
      <w:pBdr>
        <w:top w:val="none" w:color="auto" w:sz="0" w:space="0"/>
      </w:pBdr>
      <w:spacing w:before="180"/>
      <w:outlineLvl w:val="1"/>
    </w:pPr>
    <w:rPr>
      <w:sz w:val="32"/>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84"/>
    <w:qFormat/>
    <w:uiPriority w:val="0"/>
    <w:rPr>
      <w:rFonts w:ascii="宋体" w:eastAsia="宋体"/>
      <w:sz w:val="18"/>
      <w:szCs w:val="18"/>
    </w:rPr>
  </w:style>
  <w:style w:type="paragraph" w:styleId="20">
    <w:name w:val="annotation text"/>
    <w:basedOn w:val="1"/>
    <w:link w:val="93"/>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70"/>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qFormat/>
    <w:uiPriority w:val="39"/>
    <w:pPr>
      <w:ind w:left="1418" w:hanging="1418"/>
    </w:pPr>
  </w:style>
  <w:style w:type="paragraph" w:styleId="26">
    <w:name w:val="Title"/>
    <w:basedOn w:val="1"/>
    <w:next w:val="1"/>
    <w:link w:val="97"/>
    <w:qFormat/>
    <w:uiPriority w:val="0"/>
    <w:pPr>
      <w:spacing w:after="0"/>
      <w:contextualSpacing/>
    </w:pPr>
    <w:rPr>
      <w:rFonts w:asciiTheme="majorHAnsi" w:hAnsiTheme="majorHAnsi" w:eastAsiaTheme="majorEastAsia" w:cstheme="majorBidi"/>
      <w:spacing w:val="-10"/>
      <w:kern w:val="28"/>
      <w:sz w:val="56"/>
      <w:szCs w:val="56"/>
    </w:rPr>
  </w:style>
  <w:style w:type="paragraph" w:styleId="27">
    <w:name w:val="annotation subject"/>
    <w:basedOn w:val="20"/>
    <w:next w:val="20"/>
    <w:link w:val="94"/>
    <w:qFormat/>
    <w:uiPriority w:val="0"/>
    <w:rPr>
      <w:b/>
      <w:bCs/>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FollowedHyperlink"/>
    <w:qFormat/>
    <w:uiPriority w:val="0"/>
    <w:rPr>
      <w:color w:val="954F72"/>
      <w:u w:val="single"/>
    </w:rPr>
  </w:style>
  <w:style w:type="character" w:styleId="33">
    <w:name w:val="Hyperlink"/>
    <w:qFormat/>
    <w:uiPriority w:val="0"/>
    <w:rPr>
      <w:color w:val="0563C1"/>
      <w:u w:val="single"/>
    </w:rPr>
  </w:style>
  <w:style w:type="character" w:styleId="34">
    <w:name w:val="annotation reference"/>
    <w:basedOn w:val="30"/>
    <w:qFormat/>
    <w:uiPriority w:val="0"/>
    <w:rPr>
      <w:sz w:val="16"/>
      <w:szCs w:val="16"/>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link w:val="80"/>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link w:val="78"/>
    <w:qFormat/>
    <w:uiPriority w:val="0"/>
    <w:rPr>
      <w:b/>
    </w:rPr>
  </w:style>
  <w:style w:type="paragraph" w:customStyle="1" w:styleId="45">
    <w:name w:val="TAC"/>
    <w:basedOn w:val="43"/>
    <w:link w:val="77"/>
    <w:qFormat/>
    <w:uiPriority w:val="0"/>
    <w:pPr>
      <w:jc w:val="center"/>
    </w:pPr>
  </w:style>
  <w:style w:type="paragraph" w:customStyle="1" w:styleId="4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7">
    <w:name w:val="EX"/>
    <w:basedOn w:val="1"/>
    <w:link w:val="72"/>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75"/>
    <w:qFormat/>
    <w:uiPriority w:val="0"/>
    <w:pPr>
      <w:ind w:left="568" w:hanging="284"/>
    </w:pPr>
  </w:style>
  <w:style w:type="paragraph" w:customStyle="1" w:styleId="52">
    <w:name w:val="Editor's Note"/>
    <w:basedOn w:val="40"/>
    <w:link w:val="81"/>
    <w:qFormat/>
    <w:uiPriority w:val="0"/>
    <w:rPr>
      <w:color w:val="FF0000"/>
    </w:rPr>
  </w:style>
  <w:style w:type="paragraph" w:customStyle="1" w:styleId="53">
    <w:name w:val="TH"/>
    <w:basedOn w:val="1"/>
    <w:link w:val="79"/>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F"/>
    <w:basedOn w:val="53"/>
    <w:link w:val="82"/>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2">
    <w:name w:val="B2"/>
    <w:basedOn w:val="1"/>
    <w:link w:val="76"/>
    <w:qFormat/>
    <w:uiPriority w:val="0"/>
    <w:pPr>
      <w:ind w:left="851" w:hanging="284"/>
    </w:pPr>
  </w:style>
  <w:style w:type="paragraph" w:customStyle="1" w:styleId="63">
    <w:name w:val="B3"/>
    <w:basedOn w:val="1"/>
    <w:link w:val="83"/>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2"/>
    <w:qFormat/>
    <w:uiPriority w:val="0"/>
    <w:rPr>
      <w:rFonts w:ascii="Segoe UI" w:hAnsi="Segoe UI" w:cs="Segoe UI"/>
      <w:sz w:val="18"/>
      <w:szCs w:val="18"/>
      <w:lang w:eastAsia="en-US"/>
    </w:rPr>
  </w:style>
  <w:style w:type="character" w:customStyle="1" w:styleId="71">
    <w:name w:val="Unresolved Mention1"/>
    <w:semiHidden/>
    <w:unhideWhenUsed/>
    <w:qFormat/>
    <w:uiPriority w:val="99"/>
    <w:rPr>
      <w:color w:val="605E5C"/>
      <w:shd w:val="clear" w:color="auto" w:fill="E1DFDD"/>
    </w:rPr>
  </w:style>
  <w:style w:type="character" w:customStyle="1" w:styleId="72">
    <w:name w:val="EX Char"/>
    <w:link w:val="47"/>
    <w:qFormat/>
    <w:locked/>
    <w:uiPriority w:val="0"/>
    <w:rPr>
      <w:lang w:eastAsia="en-US"/>
    </w:rPr>
  </w:style>
  <w:style w:type="character" w:customStyle="1" w:styleId="73">
    <w:name w:val="Heading 2 Char"/>
    <w:basedOn w:val="30"/>
    <w:link w:val="3"/>
    <w:qFormat/>
    <w:uiPriority w:val="0"/>
    <w:rPr>
      <w:rFonts w:ascii="Arial" w:hAnsi="Arial"/>
      <w:sz w:val="32"/>
      <w:lang w:eastAsia="en-US"/>
    </w:rPr>
  </w:style>
  <w:style w:type="character" w:customStyle="1" w:styleId="74">
    <w:name w:val="Heading 3 Char"/>
    <w:link w:val="4"/>
    <w:qFormat/>
    <w:uiPriority w:val="0"/>
    <w:rPr>
      <w:rFonts w:ascii="Arial" w:hAnsi="Arial"/>
      <w:sz w:val="28"/>
      <w:lang w:eastAsia="en-US"/>
    </w:rPr>
  </w:style>
  <w:style w:type="character" w:customStyle="1" w:styleId="75">
    <w:name w:val="B1 Char"/>
    <w:link w:val="51"/>
    <w:qFormat/>
    <w:uiPriority w:val="0"/>
    <w:rPr>
      <w:lang w:eastAsia="en-US"/>
    </w:rPr>
  </w:style>
  <w:style w:type="character" w:customStyle="1" w:styleId="76">
    <w:name w:val="B2 Char"/>
    <w:link w:val="62"/>
    <w:qFormat/>
    <w:locked/>
    <w:uiPriority w:val="0"/>
    <w:rPr>
      <w:lang w:eastAsia="en-US"/>
    </w:rPr>
  </w:style>
  <w:style w:type="character" w:customStyle="1" w:styleId="77">
    <w:name w:val="TAC Char"/>
    <w:link w:val="45"/>
    <w:qFormat/>
    <w:locked/>
    <w:uiPriority w:val="0"/>
    <w:rPr>
      <w:rFonts w:ascii="Arial" w:hAnsi="Arial"/>
      <w:sz w:val="18"/>
      <w:lang w:eastAsia="en-US"/>
    </w:rPr>
  </w:style>
  <w:style w:type="character" w:customStyle="1" w:styleId="78">
    <w:name w:val="TAH Car"/>
    <w:link w:val="44"/>
    <w:qFormat/>
    <w:uiPriority w:val="0"/>
    <w:rPr>
      <w:rFonts w:ascii="Arial" w:hAnsi="Arial"/>
      <w:b/>
      <w:sz w:val="18"/>
      <w:lang w:eastAsia="en-US"/>
    </w:rPr>
  </w:style>
  <w:style w:type="character" w:customStyle="1" w:styleId="79">
    <w:name w:val="TH Char"/>
    <w:link w:val="53"/>
    <w:qFormat/>
    <w:uiPriority w:val="0"/>
    <w:rPr>
      <w:rFonts w:ascii="Arial" w:hAnsi="Arial"/>
      <w:b/>
      <w:lang w:eastAsia="en-US"/>
    </w:rPr>
  </w:style>
  <w:style w:type="character" w:customStyle="1" w:styleId="80">
    <w:name w:val="NO Zchn"/>
    <w:link w:val="40"/>
    <w:qFormat/>
    <w:uiPriority w:val="0"/>
    <w:rPr>
      <w:lang w:eastAsia="en-US"/>
    </w:rPr>
  </w:style>
  <w:style w:type="character" w:customStyle="1" w:styleId="81">
    <w:name w:val="Editor's Note Char"/>
    <w:link w:val="52"/>
    <w:qFormat/>
    <w:locked/>
    <w:uiPriority w:val="0"/>
    <w:rPr>
      <w:color w:val="FF0000"/>
      <w:lang w:eastAsia="en-US"/>
    </w:rPr>
  </w:style>
  <w:style w:type="character" w:customStyle="1" w:styleId="82">
    <w:name w:val="TF Char"/>
    <w:link w:val="60"/>
    <w:qFormat/>
    <w:uiPriority w:val="0"/>
    <w:rPr>
      <w:rFonts w:ascii="Arial" w:hAnsi="Arial"/>
      <w:b/>
      <w:lang w:eastAsia="en-US"/>
    </w:rPr>
  </w:style>
  <w:style w:type="character" w:customStyle="1" w:styleId="83">
    <w:name w:val="B3 Char2"/>
    <w:link w:val="63"/>
    <w:qFormat/>
    <w:uiPriority w:val="0"/>
    <w:rPr>
      <w:lang w:eastAsia="en-US"/>
    </w:rPr>
  </w:style>
  <w:style w:type="character" w:customStyle="1" w:styleId="84">
    <w:name w:val="Document Map Char"/>
    <w:basedOn w:val="30"/>
    <w:link w:val="19"/>
    <w:qFormat/>
    <w:uiPriority w:val="0"/>
    <w:rPr>
      <w:rFonts w:ascii="宋体" w:eastAsia="宋体"/>
      <w:sz w:val="18"/>
      <w:szCs w:val="18"/>
      <w:lang w:eastAsia="en-US"/>
    </w:rPr>
  </w:style>
  <w:style w:type="paragraph" w:customStyle="1" w:styleId="85">
    <w:name w:val="Revision"/>
    <w:hidden/>
    <w:semiHidden/>
    <w:qFormat/>
    <w:uiPriority w:val="99"/>
    <w:rPr>
      <w:rFonts w:ascii="Times New Roman" w:hAnsi="Times New Roman" w:cs="Times New Roman" w:eastAsiaTheme="minorEastAsia"/>
      <w:lang w:val="en-GB" w:eastAsia="en-US" w:bidi="ar-SA"/>
    </w:rPr>
  </w:style>
  <w:style w:type="paragraph" w:styleId="86">
    <w:name w:val="List Paragraph"/>
    <w:basedOn w:val="1"/>
    <w:qFormat/>
    <w:uiPriority w:val="34"/>
    <w:pPr>
      <w:spacing w:after="0"/>
      <w:ind w:left="720"/>
      <w:contextualSpacing/>
    </w:pPr>
    <w:rPr>
      <w:rFonts w:eastAsia="MS Mincho"/>
      <w:sz w:val="24"/>
      <w:szCs w:val="24"/>
      <w:lang w:val="en-US" w:eastAsia="zh-CN"/>
    </w:rPr>
  </w:style>
  <w:style w:type="paragraph" w:customStyle="1" w:styleId="87">
    <w:name w:val="paragraph"/>
    <w:basedOn w:val="1"/>
    <w:qFormat/>
    <w:uiPriority w:val="0"/>
    <w:pPr>
      <w:spacing w:before="100" w:beforeAutospacing="1" w:after="100" w:afterAutospacing="1"/>
    </w:pPr>
    <w:rPr>
      <w:rFonts w:eastAsia="Times New Roman"/>
      <w:sz w:val="24"/>
      <w:szCs w:val="24"/>
      <w:lang w:val="en-US" w:eastAsia="zh-CN"/>
    </w:rPr>
  </w:style>
  <w:style w:type="character" w:customStyle="1" w:styleId="88">
    <w:name w:val="normaltextrun"/>
    <w:basedOn w:val="30"/>
    <w:qFormat/>
    <w:uiPriority w:val="0"/>
  </w:style>
  <w:style w:type="character" w:customStyle="1" w:styleId="89">
    <w:name w:val="eop"/>
    <w:basedOn w:val="30"/>
    <w:qFormat/>
    <w:uiPriority w:val="0"/>
  </w:style>
  <w:style w:type="character" w:customStyle="1" w:styleId="90">
    <w:name w:val="tabchar"/>
    <w:basedOn w:val="30"/>
    <w:qFormat/>
    <w:uiPriority w:val="0"/>
  </w:style>
  <w:style w:type="paragraph" w:customStyle="1" w:styleId="91">
    <w:name w:val="CR Cover Page"/>
    <w:link w:val="92"/>
    <w:qFormat/>
    <w:uiPriority w:val="0"/>
    <w:pPr>
      <w:spacing w:after="120"/>
    </w:pPr>
    <w:rPr>
      <w:rFonts w:ascii="Arial" w:hAnsi="Arial" w:cs="Times New Roman" w:eastAsiaTheme="minorEastAsia"/>
      <w:lang w:val="en-GB" w:eastAsia="en-US" w:bidi="ar-SA"/>
    </w:rPr>
  </w:style>
  <w:style w:type="character" w:customStyle="1" w:styleId="92">
    <w:name w:val="CR Cover Page Zchn"/>
    <w:link w:val="91"/>
    <w:qFormat/>
    <w:uiPriority w:val="0"/>
    <w:rPr>
      <w:rFonts w:ascii="Arial" w:hAnsi="Arial"/>
      <w:lang w:eastAsia="en-US"/>
    </w:rPr>
  </w:style>
  <w:style w:type="character" w:customStyle="1" w:styleId="93">
    <w:name w:val="Comment Text Char"/>
    <w:basedOn w:val="30"/>
    <w:link w:val="20"/>
    <w:qFormat/>
    <w:uiPriority w:val="0"/>
    <w:rPr>
      <w:lang w:eastAsia="en-US"/>
    </w:rPr>
  </w:style>
  <w:style w:type="character" w:customStyle="1" w:styleId="94">
    <w:name w:val="Comment Subject Char"/>
    <w:basedOn w:val="93"/>
    <w:link w:val="27"/>
    <w:qFormat/>
    <w:uiPriority w:val="0"/>
    <w:rPr>
      <w:b/>
      <w:bCs/>
      <w:lang w:eastAsia="en-US"/>
    </w:rPr>
  </w:style>
  <w:style w:type="character" w:customStyle="1" w:styleId="95">
    <w:name w:val="样式1 字符"/>
    <w:basedOn w:val="30"/>
    <w:link w:val="96"/>
    <w:qFormat/>
    <w:locked/>
    <w:uiPriority w:val="0"/>
    <w:rPr>
      <w:rFonts w:ascii="Arial" w:hAnsi="Arial" w:cs="Arial" w:eastAsiaTheme="majorEastAsia"/>
      <w:b/>
      <w:bCs/>
      <w:color w:val="0000FF"/>
      <w:sz w:val="28"/>
      <w:szCs w:val="28"/>
      <w:lang w:eastAsia="en-US"/>
    </w:rPr>
  </w:style>
  <w:style w:type="paragraph" w:customStyle="1" w:styleId="96">
    <w:name w:val="样式1"/>
    <w:basedOn w:val="26"/>
    <w:link w:val="95"/>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rPr>
  </w:style>
  <w:style w:type="character" w:customStyle="1" w:styleId="97">
    <w:name w:val="Title Char"/>
    <w:basedOn w:val="30"/>
    <w:link w:val="26"/>
    <w:qFormat/>
    <w:uiPriority w:val="0"/>
    <w:rPr>
      <w:rFonts w:asciiTheme="majorHAnsi" w:hAnsiTheme="majorHAnsi" w:eastAsiaTheme="majorEastAsia" w:cstheme="majorBidi"/>
      <w:spacing w:val="-10"/>
      <w:kern w:val="28"/>
      <w:sz w:val="56"/>
      <w:szCs w:val="56"/>
      <w:lang w:eastAsia="en-US"/>
    </w:rPr>
  </w:style>
  <w:style w:type="character" w:customStyle="1" w:styleId="98">
    <w:name w:val="NO Char"/>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RBI5PAMIO524-1118738441-7241</_dlc_DocId>
    <_dlc_DocIdUrl xmlns="71c5aaf6-e6ce-465b-b873-5148d2a4c105">
      <Url>https://nokia.sharepoint.com/sites/gxp/_layouts/15/DocIdRedir.aspx?ID=RBI5PAMIO524-1118738441-7241</Url>
      <Description>RBI5PAMIO524-1118738441-7241</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0BF45-0129-4DB5-96CE-343285AE8305}">
  <ds:schemaRefs/>
</ds:datastoreItem>
</file>

<file path=customXml/itemProps2.xml><?xml version="1.0" encoding="utf-8"?>
<ds:datastoreItem xmlns:ds="http://schemas.openxmlformats.org/officeDocument/2006/customXml" ds:itemID="{705DBA46-DE4A-425D-AEDD-1E6F936031AC}">
  <ds:schemaRefs/>
</ds:datastoreItem>
</file>

<file path=customXml/itemProps3.xml><?xml version="1.0" encoding="utf-8"?>
<ds:datastoreItem xmlns:ds="http://schemas.openxmlformats.org/officeDocument/2006/customXml" ds:itemID="{9628F460-6945-40FD-8114-7BA27200141C}">
  <ds:schemaRefs/>
</ds:datastoreItem>
</file>

<file path=customXml/itemProps4.xml><?xml version="1.0" encoding="utf-8"?>
<ds:datastoreItem xmlns:ds="http://schemas.openxmlformats.org/officeDocument/2006/customXml" ds:itemID="{7E0152F2-E173-487A-89E8-9752423149A1}">
  <ds:schemaRefs/>
</ds:datastoreItem>
</file>

<file path=customXml/itemProps5.xml><?xml version="1.0" encoding="utf-8"?>
<ds:datastoreItem xmlns:ds="http://schemas.openxmlformats.org/officeDocument/2006/customXml" ds:itemID="{17E3C2A8-C5B0-44F3-84A1-CA6B35628E63}">
  <ds:schemaRefs/>
</ds:datastoreItem>
</file>

<file path=customXml/itemProps6.xml><?xml version="1.0" encoding="utf-8"?>
<ds:datastoreItem xmlns:ds="http://schemas.openxmlformats.org/officeDocument/2006/customXml" ds:itemID="{24C7AD36-1FC1-4907-B6CE-D2C2B54C2563}">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1380</Words>
  <Characters>7872</Characters>
  <Lines>65</Lines>
  <Paragraphs>18</Paragraphs>
  <TotalTime>10</TotalTime>
  <ScaleCrop>false</ScaleCrop>
  <LinksUpToDate>false</LinksUpToDate>
  <CharactersWithSpaces>9234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2024-06-21T16:56:00Z</dcterms:created>
  <dc:creator>MCC Support</dc:creator>
  <cp:keywords>&lt;keyword[, keyword, ]&gt;</cp:keywords>
  <cp:lastModifiedBy>Yuang(ZTE)</cp:lastModifiedBy>
  <cp:lastPrinted>2019-02-25T14:05:00Z</cp:lastPrinted>
  <dcterms:modified xsi:type="dcterms:W3CDTF">2024-09-29T09:40:51Z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c6be664c-ac02-452a-8b18-12e48ec87118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28EA62E5116C42D59A7077A5C015C6AC</vt:lpwstr>
  </property>
</Properties>
</file>